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Calibri" w:eastAsia="方正小标宋简体" w:cs="仿宋_GB2312"/>
          <w:sz w:val="36"/>
          <w:szCs w:val="36"/>
          <w:u w:color="000000"/>
        </w:rPr>
      </w:pPr>
      <w:r>
        <w:rPr>
          <w:rFonts w:hint="eastAsia" w:ascii="方正小标宋简体" w:hAnsi="Calibri" w:eastAsia="方正小标宋简体" w:cs="仿宋_GB2312"/>
          <w:sz w:val="36"/>
          <w:szCs w:val="36"/>
          <w:u w:color="000000"/>
        </w:rPr>
        <w:t>《商务部工业和信息化部公安部农业部质检总局</w:t>
      </w:r>
    </w:p>
    <w:p>
      <w:pPr>
        <w:spacing w:line="600" w:lineRule="exact"/>
        <w:jc w:val="center"/>
        <w:rPr>
          <w:rFonts w:ascii="方正小标宋简体" w:hAnsi="Calibri" w:eastAsia="方正小标宋简体" w:cs="仿宋_GB2312"/>
          <w:sz w:val="36"/>
          <w:szCs w:val="36"/>
          <w:u w:color="000000"/>
        </w:rPr>
      </w:pPr>
      <w:r>
        <w:rPr>
          <w:rFonts w:hint="eastAsia" w:ascii="方正小标宋简体" w:hAnsi="Calibri" w:eastAsia="方正小标宋简体" w:cs="仿宋_GB2312"/>
          <w:sz w:val="36"/>
          <w:szCs w:val="36"/>
          <w:u w:color="000000"/>
        </w:rPr>
        <w:t>安全监管总局食品药品监管总局</w:t>
      </w:r>
    </w:p>
    <w:p>
      <w:pPr>
        <w:spacing w:line="600" w:lineRule="exact"/>
        <w:jc w:val="center"/>
        <w:rPr>
          <w:rFonts w:ascii="方正小标宋简体" w:hAnsi="Calibri" w:eastAsia="方正小标宋简体" w:cs="仿宋_GB2312"/>
          <w:sz w:val="36"/>
          <w:szCs w:val="36"/>
          <w:u w:color="000000"/>
        </w:rPr>
      </w:pPr>
      <w:r>
        <w:rPr>
          <w:rFonts w:hint="eastAsia" w:ascii="方正小标宋简体" w:hAnsi="Calibri" w:eastAsia="方正小标宋简体" w:cs="仿宋_GB2312"/>
          <w:sz w:val="36"/>
          <w:szCs w:val="36"/>
          <w:u w:color="000000"/>
        </w:rPr>
        <w:t>关于推进重要产品信息化追溯体系建设的指导意见》</w:t>
      </w:r>
    </w:p>
    <w:p>
      <w:pPr>
        <w:spacing w:line="600" w:lineRule="exact"/>
        <w:jc w:val="center"/>
        <w:rPr>
          <w:rFonts w:ascii="仿宋_GB2312" w:hAnsi="Calibri" w:eastAsia="仿宋_GB2312" w:cs="仿宋_GB2312"/>
          <w:sz w:val="32"/>
          <w:szCs w:val="32"/>
          <w:u w:color="000000"/>
        </w:rPr>
      </w:pPr>
      <w:r>
        <w:rPr>
          <w:rFonts w:hint="eastAsia" w:ascii="仿宋_GB2312" w:hAnsi="Calibri" w:eastAsia="仿宋_GB2312" w:cs="仿宋_GB2312"/>
          <w:sz w:val="32"/>
          <w:szCs w:val="32"/>
          <w:u w:color="000000"/>
        </w:rPr>
        <w:t>（商秩发〔</w:t>
      </w:r>
      <w:r>
        <w:rPr>
          <w:rFonts w:ascii="仿宋_GB2312" w:hAnsi="Calibri" w:eastAsia="仿宋_GB2312" w:cs="仿宋_GB2312"/>
          <w:sz w:val="32"/>
          <w:szCs w:val="32"/>
          <w:u w:color="000000"/>
        </w:rPr>
        <w:t>2017</w:t>
      </w:r>
      <w:r>
        <w:rPr>
          <w:rFonts w:hint="eastAsia" w:ascii="仿宋_GB2312" w:hAnsi="Calibri" w:eastAsia="仿宋_GB2312" w:cs="仿宋_GB2312"/>
          <w:sz w:val="32"/>
          <w:szCs w:val="32"/>
          <w:u w:color="000000"/>
        </w:rPr>
        <w:t>〕</w:t>
      </w:r>
      <w:r>
        <w:rPr>
          <w:rFonts w:ascii="仿宋_GB2312" w:hAnsi="Calibri" w:eastAsia="仿宋_GB2312" w:cs="仿宋_GB2312"/>
          <w:sz w:val="32"/>
          <w:szCs w:val="32"/>
          <w:u w:color="000000"/>
        </w:rPr>
        <w:t>53</w:t>
      </w:r>
      <w:r>
        <w:rPr>
          <w:rFonts w:hint="eastAsia" w:ascii="仿宋_GB2312" w:hAnsi="Calibri" w:eastAsia="仿宋_GB2312" w:cs="仿宋_GB2312"/>
          <w:sz w:val="32"/>
          <w:szCs w:val="32"/>
          <w:u w:color="000000"/>
        </w:rPr>
        <w:t>号）（节选）</w:t>
      </w:r>
    </w:p>
    <w:p>
      <w:pPr>
        <w:pStyle w:val="3"/>
        <w:widowControl/>
        <w:spacing w:before="0" w:after="0" w:line="560" w:lineRule="exact"/>
        <w:ind w:firstLine="640" w:firstLineChars="20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w:t>
      </w:r>
    </w:p>
    <w:p>
      <w:pPr>
        <w:pStyle w:val="3"/>
        <w:widowControl/>
        <w:numPr>
          <w:ilvl w:val="0"/>
          <w:numId w:val="1"/>
        </w:numPr>
        <w:spacing w:before="0" w:after="0" w:line="560" w:lineRule="exact"/>
        <w:ind w:firstLine="640" w:firstLineChars="20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基本原则。</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1. </w:t>
      </w:r>
      <w:r>
        <w:rPr>
          <w:rFonts w:hint="eastAsia" w:ascii="仿宋_GB2312" w:eastAsia="仿宋_GB2312" w:cs="仿宋_GB2312"/>
          <w:color w:val="auto"/>
          <w:kern w:val="2"/>
          <w:sz w:val="32"/>
          <w:szCs w:val="32"/>
        </w:rPr>
        <w:t>统筹规划与属地管理相结合，兼顾地方需求特色。统一基础共性标准和建设规范，实现跨部门跨区域业务协同、资源整合、设施及信息开放共享，避免重复建设。在做好已明确的重要产品追溯工作基础上，鼓励地方结合实际确定追溯体系建设的重要产品名录。</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2. </w:t>
      </w:r>
      <w:r>
        <w:rPr>
          <w:rFonts w:hint="eastAsia" w:ascii="仿宋_GB2312" w:eastAsia="仿宋_GB2312" w:cs="仿宋_GB2312"/>
          <w:color w:val="auto"/>
          <w:kern w:val="2"/>
          <w:sz w:val="32"/>
          <w:szCs w:val="32"/>
        </w:rPr>
        <w:t>政府引导与市场化运作相结合，发挥企业主体作用。在做好政府主导的试点示范工作和公益性追溯管理平台建设同时，强化企业主体责任，支持行业组织和企业自建产品追溯系统，并与政府和相关机构实现追溯信息互通共享，促进公益性和市场化两类追溯平台有机衔接、协调发展。</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3. </w:t>
      </w:r>
      <w:r>
        <w:rPr>
          <w:rFonts w:hint="eastAsia" w:ascii="仿宋_GB2312" w:eastAsia="仿宋_GB2312" w:cs="仿宋_GB2312"/>
          <w:color w:val="auto"/>
          <w:kern w:val="2"/>
          <w:sz w:val="32"/>
          <w:szCs w:val="32"/>
        </w:rPr>
        <w:t>形式多样与互联互通相结合，注重产品追溯实效。坚持创新驱动，推进追溯理论、模式、管理和技术创新，鼓励追溯体系建设运行多样化发展。坚持追溯信息互通共享，统一优化公共服务，注重生产源头追溯信息的真实性、中间环节信息链条的连续性、消费端追溯信息获取的便捷性。</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4. </w:t>
      </w:r>
      <w:r>
        <w:rPr>
          <w:rFonts w:hint="eastAsia" w:ascii="仿宋_GB2312" w:eastAsia="仿宋_GB2312" w:cs="仿宋_GB2312"/>
          <w:color w:val="auto"/>
          <w:kern w:val="2"/>
          <w:sz w:val="32"/>
          <w:szCs w:val="32"/>
        </w:rPr>
        <w:t>试点示范与复制推广相结合，建立科学推进模式。以与群众生产生活密切相关、质量安全问题较多的产品为重点，选择基础较好的地区、行业和企业开展试点示范，先易后难，以点带面，及时总结可复制推广的经验，逐步扩大覆盖范围，提高运行效果。</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（三）建设目标。</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到</w:t>
      </w:r>
      <w:r>
        <w:rPr>
          <w:rFonts w:ascii="仿宋_GB2312" w:eastAsia="仿宋_GB2312" w:cs="仿宋_GB2312"/>
          <w:color w:val="auto"/>
          <w:kern w:val="2"/>
          <w:sz w:val="32"/>
          <w:szCs w:val="32"/>
        </w:rPr>
        <w:t>2020</w:t>
      </w:r>
      <w:r>
        <w:rPr>
          <w:rFonts w:hint="eastAsia" w:ascii="仿宋_GB2312" w:eastAsia="仿宋_GB2312" w:cs="仿宋_GB2312"/>
          <w:color w:val="auto"/>
          <w:kern w:val="2"/>
          <w:sz w:val="32"/>
          <w:szCs w:val="32"/>
        </w:rPr>
        <w:t>年，初步建成全国上下一体、协同运作的重要产品追溯管理体制、统一协调的追溯标准体系和追溯信息服务体系；相关法律法规进一步健全；追溯数据统一共享交换机制基本形成，部门、地区和行业企业追溯信息初步实现互通共享和通查通识；重要产品生产管理信息化、标准化、集约化水平显著提高；追溯大数据分析应用机制进一步健全完善，追溯应急管理能力显著提高，追溯体系对群众安全消费、企业精准营销、行业管理优化、供应链安全保障及政府监测监管的服务能力不断增强。</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国家重要产品追溯管理平台及食用农产品、食品、药品、农业生产资料、特种设备、危险品、稀土产品等分类产品追溯体系基本建成运行；有条件的地方和行业探索推进妇幼用品、建材、家电和汽车零配件、地方特色产品等追溯体系建设；企业产品质量安全主体责任意识显著增强，采用信息技术建设追溯体系的企业占比大幅提高；产品质量安全保障水平和品牌国际竞争力进一步提升；社会公众对追溯产品的认知度和接受度明显增强。</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w:t>
      </w:r>
    </w:p>
    <w:p>
      <w:pPr>
        <w:pStyle w:val="3"/>
        <w:widowControl/>
        <w:spacing w:before="0" w:after="0" w:line="560" w:lineRule="exact"/>
        <w:ind w:firstLine="640"/>
        <w:jc w:val="both"/>
        <w:rPr>
          <w:rFonts w:hint="eastAsia" w:ascii="仿宋_GB2312" w:eastAsia="仿宋_GB2312" w:cs="仿宋_GB2312"/>
          <w:color w:val="auto"/>
          <w:kern w:val="2"/>
          <w:sz w:val="32"/>
          <w:szCs w:val="32"/>
          <w:lang w:val="en-US" w:eastAsia="zh-CN"/>
        </w:rPr>
      </w:pPr>
      <w:r>
        <w:rPr>
          <w:rFonts w:hint="eastAsia" w:ascii="仿宋_GB2312" w:eastAsia="仿宋_GB2312" w:cs="仿宋_GB2312"/>
          <w:color w:val="auto"/>
          <w:kern w:val="2"/>
          <w:sz w:val="32"/>
          <w:szCs w:val="32"/>
          <w:lang w:val="en-US" w:eastAsia="zh-CN"/>
        </w:rPr>
        <w:t>二、基本任务</w:t>
      </w:r>
    </w:p>
    <w:p>
      <w:pPr>
        <w:pStyle w:val="3"/>
        <w:widowControl/>
        <w:numPr>
          <w:ilvl w:val="0"/>
          <w:numId w:val="2"/>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基本任务。</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1. </w:t>
      </w:r>
      <w:r>
        <w:rPr>
          <w:rFonts w:hint="eastAsia" w:ascii="仿宋_GB2312" w:eastAsia="仿宋_GB2312" w:cs="仿宋_GB2312"/>
          <w:color w:val="auto"/>
          <w:kern w:val="2"/>
          <w:sz w:val="32"/>
          <w:szCs w:val="32"/>
        </w:rPr>
        <w:t>建立目录管理制度。从产品对人身和生产安全的重要程度、危害事件发生概率及后果影响等方面进行科学评估，依法制定重点追溯产品目录和鼓励追溯产品目录。国家重要产品目录实行动态管理；各地酌情制定兼容国家目录的地方重要产品目录。</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2. </w:t>
      </w:r>
      <w:r>
        <w:rPr>
          <w:rFonts w:hint="eastAsia" w:ascii="仿宋_GB2312" w:eastAsia="仿宋_GB2312" w:cs="仿宋_GB2312"/>
          <w:color w:val="auto"/>
          <w:kern w:val="2"/>
          <w:sz w:val="32"/>
          <w:szCs w:val="32"/>
        </w:rPr>
        <w:t>完善追溯标准体系。分析提炼追溯的核心技术要求和管理要求，明确不同层级、不同类别标准的定位和功能，建成国家、行业、地方、团体和企业标准相衔接，覆盖全面、重点突出、结构合理的重要产品追溯标准体系。研制一批追溯数据采集指标、编码规则、传输格式、接口规范等共性基础标准，实现产品追溯全过程的互联互通与通查通识。在追溯标准化研究的基础上，选择条件好、管理水平高的地区、行业、企业探索开展重要产品追溯标准化试点示范工作，推动标准制定和实施。针对重点产品和环节，根据产品形态、包装形式、生产经营模式、供应链协同、相关业务流程等特点，明确各品种追溯体系建设的技术要求，设计简便适用、易于操作的追溯规程和查询方式。探索推进重要产品追溯标准与国际接轨，携手打造中国与“一带一路”沿线国家重要产品追溯通用规则，逐步建立国际间重要产品追溯体系，增强中国标准的国际规则话语权。</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3. </w:t>
      </w:r>
      <w:r>
        <w:rPr>
          <w:rFonts w:hint="eastAsia" w:ascii="仿宋_GB2312" w:eastAsia="仿宋_GB2312" w:cs="仿宋_GB2312"/>
          <w:color w:val="auto"/>
          <w:kern w:val="2"/>
          <w:sz w:val="32"/>
          <w:szCs w:val="32"/>
        </w:rPr>
        <w:t>健全认证认可制度。将重要产品追溯管理纳入现有强制性产品认证、有机产品认证、质量管理体系、食品安全管理体系、药品生产质量管理规范、药品经营质量管理规范、良好农业操作规范、良好生产规范、危害分析与关键控制点等制度。围绕健全追溯管理机制，建立追溯管理体系认证认可制度。完善认证规范、认证规则、认证工作后续监管及惩戒机制，建立与认证认可相适应的标识标记制度，方便消费者识别。</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4. </w:t>
      </w:r>
      <w:r>
        <w:rPr>
          <w:rFonts w:hint="eastAsia" w:ascii="仿宋_GB2312" w:eastAsia="仿宋_GB2312" w:cs="仿宋_GB2312"/>
          <w:color w:val="auto"/>
          <w:kern w:val="2"/>
          <w:sz w:val="32"/>
          <w:szCs w:val="32"/>
        </w:rPr>
        <w:t>推进追溯体系互联互通。按照统一规划、科学管理原则，采用大数据、云计算、对象标识与标识解析等信息技术，逐步建设中央、省、市级重要产品追溯管理平台。建立追溯信息共享交换机制，实现中央平台与有关部门、地区、第三方平台之间的对接。推进各类追溯平台与检验检测信息系统、信用管理系统、综合执法系统、企业内部质量管理体系等对接。建设国家重要产品追溯综合门户网站，宣传政策法规和追溯知识，统一提供追溯信息查询服务。</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加强追溯大数据开发利用。结合企业发展与行业监管需求，开发智能化的产品质量安全监测、责任主体定位、流向范围及影响评估、应急处置等功能，为企业管理、政务决策、风险预警与应急处置提供有力支持，严防区域性、系统性风险。构建供应链上下游企业追溯信息投入与收益的合理分配机制。在依法加强安全保障和商业秘密保护的前提下，实现追溯数据资源向社会有序开放。</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 xml:space="preserve">5. </w:t>
      </w:r>
      <w:r>
        <w:rPr>
          <w:rFonts w:hint="eastAsia" w:ascii="仿宋_GB2312" w:eastAsia="仿宋_GB2312" w:cs="仿宋_GB2312"/>
          <w:color w:val="auto"/>
          <w:kern w:val="2"/>
          <w:sz w:val="32"/>
          <w:szCs w:val="32"/>
        </w:rPr>
        <w:t>促进线上线下融合。引导企业将追溯体系建设与信息化改造升级相结合，鼓励企业以建设追溯体系为契机，提高信息化、智能化管理水平。推进“互联网</w:t>
      </w:r>
      <w:r>
        <w:rPr>
          <w:rFonts w:ascii="仿宋_GB2312" w:eastAsia="仿宋_GB2312" w:cs="仿宋_GB2312"/>
          <w:color w:val="auto"/>
          <w:kern w:val="2"/>
          <w:sz w:val="32"/>
          <w:szCs w:val="32"/>
        </w:rPr>
        <w:t>+</w:t>
      </w:r>
      <w:r>
        <w:rPr>
          <w:rFonts w:hint="eastAsia" w:ascii="仿宋_GB2312" w:eastAsia="仿宋_GB2312" w:cs="仿宋_GB2312"/>
          <w:color w:val="auto"/>
          <w:kern w:val="2"/>
          <w:sz w:val="32"/>
          <w:szCs w:val="32"/>
        </w:rPr>
        <w:t>追溯”创新发展，鼓励电子商务企业利用自身平台建设信息化追溯系统，实现销售与追溯双重功能，创建可追溯电商品牌，提高企业经济效益；支持生产加工、仓储物流、批发零售等企业将追溯体系建设与电子商务、智慧物流等信息化建设相结合，增强信息交互、在线交易、精准营销等功能；推动追溯体系与批发零售企业电子结算系统、冷链物流配送等体系融合发展。</w:t>
      </w:r>
    </w:p>
    <w:p>
      <w:pPr>
        <w:pStyle w:val="3"/>
        <w:widowControl/>
        <w:numPr>
          <w:ilvl w:val="0"/>
          <w:numId w:val="3"/>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强化追溯信用监管。建立可信数据支撑体系，确保追溯信息的真实性和有效性。以企业为主体，政府部门、行业组织、专业机构和消费者等多方参与，将供应链中的生产经营企业、检测认证机构、监管机构、消费者等主体纳入可信数据支撑体系，通过相关技术手段整合产品供应链各环节追溯信息，形成不可篡改的可信追溯信息链条。建立完善产品质量安全档案和失信“黑名单”制度。建立消费者和用户监督机制，畅通举报投诉渠道，形成有效监督的社会氛围。建立追溯信息系统成熟度评价体系，从追溯数据链、检验检测、消费者监督等方面，对企业及产品开展综合评价。</w:t>
      </w:r>
    </w:p>
    <w:p>
      <w:pPr>
        <w:pStyle w:val="3"/>
        <w:widowControl/>
        <w:spacing w:before="0" w:after="0" w:line="560" w:lineRule="exact"/>
        <w:ind w:firstLine="640"/>
        <w:jc w:val="both"/>
        <w:rPr>
          <w:rFonts w:ascii="仿宋_GB2312" w:eastAsia="仿宋_GB2312" w:cs="仿宋_GB2312"/>
          <w:color w:val="auto"/>
          <w:kern w:val="2"/>
          <w:sz w:val="32"/>
          <w:szCs w:val="32"/>
        </w:rPr>
      </w:pPr>
      <w:r>
        <w:rPr>
          <w:rFonts w:ascii="仿宋_GB2312" w:eastAsia="仿宋_GB2312" w:cs="仿宋_GB2312"/>
          <w:color w:val="auto"/>
          <w:kern w:val="2"/>
          <w:sz w:val="32"/>
          <w:szCs w:val="32"/>
        </w:rPr>
        <w:t>......</w:t>
      </w:r>
    </w:p>
    <w:p>
      <w:pPr>
        <w:pStyle w:val="3"/>
        <w:widowControl/>
        <w:numPr>
          <w:ilvl w:val="0"/>
          <w:numId w:val="4"/>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保障措施</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（一）加强组织领导。</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建立完善追溯体系建设协调推进工作机制。商务部会同有关部门建立部际联席会议制度，强化宏观指导，落实部门分工，加强法律法规、政策措施、标准规范等方面的协调配合，督促各项工作落实。各地完善领导机制，将重要产品追溯体系建设纳入工作考核指标。推动建立追溯行业组织。</w:t>
      </w:r>
    </w:p>
    <w:p>
      <w:pPr>
        <w:pStyle w:val="3"/>
        <w:widowControl/>
        <w:numPr>
          <w:ilvl w:val="0"/>
          <w:numId w:val="5"/>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完善法规制度。</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加快推进《农产品质量安全法》、《食品安全法实施条例》等相关法律法规和规章的制（修）订工作，完善重要产品追溯管理制度，细化明确生产经营者责任和义务。按照《产品质量法》、《食品安全法》、《社会信用体系建设规划纲要（</w:t>
      </w:r>
      <w:r>
        <w:rPr>
          <w:rFonts w:ascii="仿宋_GB2312" w:eastAsia="仿宋_GB2312" w:cs="仿宋_GB2312"/>
          <w:color w:val="auto"/>
          <w:kern w:val="2"/>
          <w:sz w:val="32"/>
          <w:szCs w:val="32"/>
        </w:rPr>
        <w:t>2014—2020</w:t>
      </w:r>
      <w:r>
        <w:rPr>
          <w:rFonts w:hint="eastAsia" w:ascii="仿宋_GB2312" w:eastAsia="仿宋_GB2312" w:cs="仿宋_GB2312"/>
          <w:color w:val="auto"/>
          <w:kern w:val="2"/>
          <w:sz w:val="32"/>
          <w:szCs w:val="32"/>
        </w:rPr>
        <w:t>年）》等要求，将追溯体系建设与构建社会诚信机制、强化企业主体责任、问题产品召回紧密结合，最大限度发挥追溯体系的倒逼作用和服务功能。加快推动地方立法，实行依法建设，依法管理。</w:t>
      </w:r>
    </w:p>
    <w:p>
      <w:pPr>
        <w:pStyle w:val="3"/>
        <w:widowControl/>
        <w:numPr>
          <w:ilvl w:val="0"/>
          <w:numId w:val="5"/>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营造发展环境。</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鼓励大型连锁企业、医院、学校等团体消费单位优先选购可追溯产品。培育创新创业新领域，营造追溯体系建设的众创空间。加强追溯技术成果转化与知识产权保护，加快推动技术研发、系统集成、业务咨询、工程监理、大数据分析等追溯服务产业发展，为追溯体系建设运行、扩大应用提供专业服务。加大对贫困地区政策倾斜力度，推动形成“互联网</w:t>
      </w:r>
      <w:r>
        <w:rPr>
          <w:rFonts w:ascii="仿宋_GB2312" w:eastAsia="仿宋_GB2312" w:cs="仿宋_GB2312"/>
          <w:color w:val="auto"/>
          <w:kern w:val="2"/>
          <w:sz w:val="32"/>
          <w:szCs w:val="32"/>
        </w:rPr>
        <w:t>+</w:t>
      </w:r>
      <w:r>
        <w:rPr>
          <w:rFonts w:hint="eastAsia" w:ascii="仿宋_GB2312" w:eastAsia="仿宋_GB2312" w:cs="仿宋_GB2312"/>
          <w:color w:val="auto"/>
          <w:kern w:val="2"/>
          <w:sz w:val="32"/>
          <w:szCs w:val="32"/>
        </w:rPr>
        <w:t>产品追溯</w:t>
      </w:r>
      <w:r>
        <w:rPr>
          <w:rFonts w:ascii="仿宋_GB2312" w:eastAsia="仿宋_GB2312" w:cs="仿宋_GB2312"/>
          <w:color w:val="auto"/>
          <w:kern w:val="2"/>
          <w:sz w:val="32"/>
          <w:szCs w:val="32"/>
        </w:rPr>
        <w:t>+</w:t>
      </w:r>
      <w:r>
        <w:rPr>
          <w:rFonts w:hint="eastAsia" w:ascii="仿宋_GB2312" w:eastAsia="仿宋_GB2312" w:cs="仿宋_GB2312"/>
          <w:color w:val="auto"/>
          <w:kern w:val="2"/>
          <w:sz w:val="32"/>
          <w:szCs w:val="32"/>
        </w:rPr>
        <w:t>精准扶贫”的政策组合与市场化运作模式。</w:t>
      </w:r>
    </w:p>
    <w:p>
      <w:pPr>
        <w:pStyle w:val="3"/>
        <w:widowControl/>
        <w:numPr>
          <w:ilvl w:val="0"/>
          <w:numId w:val="5"/>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创新支持方式。</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加大政策支持力度，重点支持公益性重要产品追溯平台建设，以及完善标准、培育人才等追溯体系建设基础性工作。鼓励社会资本投入，采用市场化方式吸引企业加盟，为中小微企业提供信息化追溯服务。鼓励金融机构为开展追溯体系建设的企业提供信贷支持和产品责任保险。围绕重要产品追溯体系建设的重点、难点和薄弱环节，开展示范创建活动。支持有条件的地区创新追溯模式。及时总结经验，适时向其他地区复制推广。</w:t>
      </w:r>
    </w:p>
    <w:p>
      <w:pPr>
        <w:pStyle w:val="3"/>
        <w:widowControl/>
        <w:numPr>
          <w:ilvl w:val="0"/>
          <w:numId w:val="5"/>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加强理论研究和人才培养。</w:t>
      </w:r>
    </w:p>
    <w:p>
      <w:pPr>
        <w:pStyle w:val="3"/>
        <w:widowControl/>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加强追溯理论和应用技术的研究与交流。鼓励科研机构建立质量安全追溯技术及应用工程实验室，鼓励大学设立追溯专业院系及课程。建立完善追溯专业人才培育机制。鼓励成立重要产品追溯体系建设咨询机构和专家委员会，对追溯体系建设运行开展前期咨询论证和后期跟踪评估，促进重要产品追溯体系创新发展；建立发展重要产品追溯体系培训机构，培养多层次的追溯人才。</w:t>
      </w:r>
    </w:p>
    <w:p>
      <w:pPr>
        <w:pStyle w:val="3"/>
        <w:widowControl/>
        <w:numPr>
          <w:ilvl w:val="0"/>
          <w:numId w:val="5"/>
        </w:numPr>
        <w:spacing w:before="0" w:after="0" w:line="560" w:lineRule="exact"/>
        <w:ind w:firstLine="640"/>
        <w:jc w:val="both"/>
        <w:rPr>
          <w:rFonts w:ascii="仿宋_GB2312" w:eastAsia="仿宋_GB2312" w:cs="仿宋_GB2312"/>
          <w:color w:val="auto"/>
          <w:kern w:val="2"/>
          <w:sz w:val="32"/>
          <w:szCs w:val="32"/>
        </w:rPr>
      </w:pPr>
      <w:r>
        <w:rPr>
          <w:rFonts w:hint="eastAsia" w:ascii="仿宋_GB2312" w:eastAsia="仿宋_GB2312" w:cs="仿宋_GB2312"/>
          <w:color w:val="auto"/>
          <w:kern w:val="2"/>
          <w:sz w:val="32"/>
          <w:szCs w:val="32"/>
        </w:rPr>
        <w:t>强化宣传教育。</w:t>
      </w:r>
    </w:p>
    <w:p>
      <w:pPr>
        <w:pStyle w:val="3"/>
        <w:widowControl/>
        <w:spacing w:before="0" w:after="0" w:line="560" w:lineRule="exact"/>
        <w:jc w:val="both"/>
        <w:rPr>
          <w:rFonts w:ascii="仿宋_GB2312" w:eastAsia="仿宋_GB2312"/>
          <w:sz w:val="28"/>
        </w:rPr>
      </w:pPr>
      <w:r>
        <w:rPr>
          <w:rFonts w:hint="eastAsia" w:ascii="仿宋_GB2312" w:eastAsia="仿宋_GB2312" w:cs="仿宋_GB2312"/>
          <w:color w:val="auto"/>
          <w:kern w:val="2"/>
          <w:sz w:val="32"/>
          <w:szCs w:val="32"/>
        </w:rPr>
        <w:t>加强社会舆论宣传，通过广播、电视、报刊等传统媒体和网络、手机移动终端等数字化新媒体广泛开展追溯宣传和大众科普，突出强调生产经营企业建设产品追溯体系的主体责任、行业组织推进追溯体系建设、加强行业自律的典型经验、消费者参与追溯体系建设的重要意义等；推动行业组织开展法律法规和标准宣贯，传播追溯理念，培育追溯文化，形成熟悉追溯、支持追溯、积极参与追溯的社会氛围；制定合理有效的激励措施，充分调动消费者和用户的参与热情，构建全面推进重要产品追溯体系建设的市场倒逼机制。</w:t>
      </w:r>
    </w:p>
    <w:p>
      <w:bookmarkStart w:id="0" w:name="_GoBack"/>
      <w:bookmarkEnd w:id="0"/>
    </w:p>
    <w:sectPr>
      <w:footerReference r:id="rId3" w:type="default"/>
      <w:footerReference r:id="rId4" w:type="even"/>
      <w:pgSz w:w="11906" w:h="16838"/>
      <w:pgMar w:top="1984" w:right="1531" w:bottom="2154" w:left="153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PMincho">
    <w:panose1 w:val="02020600040205080304"/>
    <w:charset w:val="80"/>
    <w:family w:val="roman"/>
    <w:pitch w:val="default"/>
    <w:sig w:usb0="E00002FF" w:usb1="6AC7FDFB" w:usb2="00000012" w:usb3="00000000" w:csb0="4002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µÈÏß Western">
    <w:altName w:val="Arial Unicode MS"/>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5</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sz w:val="24"/>
      </w:rPr>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E8C0C"/>
    <w:multiLevelType w:val="singleLevel"/>
    <w:tmpl w:val="58AE8C0C"/>
    <w:lvl w:ilvl="0" w:tentative="0">
      <w:start w:val="2"/>
      <w:numFmt w:val="chineseCounting"/>
      <w:suff w:val="nothing"/>
      <w:lvlText w:val="（%1）"/>
      <w:lvlJc w:val="left"/>
      <w:rPr>
        <w:rFonts w:cs="Times New Roman"/>
      </w:rPr>
    </w:lvl>
  </w:abstractNum>
  <w:abstractNum w:abstractNumId="1">
    <w:nsid w:val="58AE8C80"/>
    <w:multiLevelType w:val="singleLevel"/>
    <w:tmpl w:val="58AE8C80"/>
    <w:lvl w:ilvl="0" w:tentative="0">
      <w:start w:val="6"/>
      <w:numFmt w:val="decimal"/>
      <w:suff w:val="nothing"/>
      <w:lvlText w:val="%1."/>
      <w:lvlJc w:val="left"/>
      <w:rPr>
        <w:rFonts w:cs="Times New Roman"/>
      </w:rPr>
    </w:lvl>
  </w:abstractNum>
  <w:abstractNum w:abstractNumId="2">
    <w:nsid w:val="58AE8CC8"/>
    <w:multiLevelType w:val="singleLevel"/>
    <w:tmpl w:val="58AE8CC8"/>
    <w:lvl w:ilvl="0" w:tentative="0">
      <w:start w:val="1"/>
      <w:numFmt w:val="chineseCounting"/>
      <w:suff w:val="nothing"/>
      <w:lvlText w:val="（%1）"/>
      <w:lvlJc w:val="left"/>
      <w:rPr>
        <w:rFonts w:cs="Times New Roman"/>
      </w:rPr>
    </w:lvl>
  </w:abstractNum>
  <w:abstractNum w:abstractNumId="3">
    <w:nsid w:val="58AE8D78"/>
    <w:multiLevelType w:val="singleLevel"/>
    <w:tmpl w:val="58AE8D78"/>
    <w:lvl w:ilvl="0" w:tentative="0">
      <w:start w:val="3"/>
      <w:numFmt w:val="chineseCounting"/>
      <w:suff w:val="nothing"/>
      <w:lvlText w:val="%1、"/>
      <w:lvlJc w:val="left"/>
      <w:rPr>
        <w:rFonts w:cs="Times New Roman"/>
      </w:rPr>
    </w:lvl>
  </w:abstractNum>
  <w:abstractNum w:abstractNumId="4">
    <w:nsid w:val="58AE8D95"/>
    <w:multiLevelType w:val="singleLevel"/>
    <w:tmpl w:val="58AE8D95"/>
    <w:lvl w:ilvl="0" w:tentative="0">
      <w:start w:val="2"/>
      <w:numFmt w:val="chineseCounting"/>
      <w:suff w:val="nothing"/>
      <w:lvlText w:val="（%1）"/>
      <w:lvlJc w:val="left"/>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0D6DDF"/>
    <w:rsid w:val="1E0D6DD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after="100"/>
      <w:jc w:val="left"/>
    </w:pPr>
    <w:rPr>
      <w:rFonts w:ascii="Calibri" w:hAnsi="Calibri" w:cs="Calibri"/>
      <w:color w:val="000000"/>
      <w:kern w:val="0"/>
      <w:sz w:val="24"/>
      <w:szCs w:val="24"/>
      <w:u w:color="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2017-03-24T06:21:00Z</dcterms:created>
  <dc:creator>caq</dc:creator>
  <cp:lastModifiedBy>caq</cp:lastModifiedBy>
  <dcterms:modified xsi:type="dcterms:W3CDTF">2017-03-24T06:21:36Z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