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after="0"/>
        <w:jc w:val="center"/>
        <w:rPr>
          <w:rFonts w:ascii="方正小标宋简体" w:eastAsia="方正小标宋简体" w:cs="Times New Roman"/>
          <w:kern w:val="2"/>
          <w:sz w:val="36"/>
          <w:szCs w:val="36"/>
        </w:rPr>
      </w:pPr>
      <w:r>
        <w:rPr>
          <w:rFonts w:hint="eastAsia" w:ascii="方正小标宋简体" w:eastAsia="方正小标宋简体" w:cs="Times New Roman"/>
          <w:kern w:val="2"/>
          <w:sz w:val="36"/>
          <w:szCs w:val="36"/>
        </w:rPr>
        <w:t>《关于加快推进重要产品追溯体系建设的意见》</w:t>
      </w:r>
    </w:p>
    <w:p>
      <w:pPr>
        <w:pStyle w:val="2"/>
        <w:widowControl/>
        <w:shd w:val="clear" w:color="auto" w:fill="FFFFFF"/>
        <w:spacing w:before="0" w:after="180" w:line="420" w:lineRule="atLeast"/>
        <w:jc w:val="center"/>
        <w:rPr>
          <w:rFonts w:ascii="仿宋_GB2312" w:eastAsia="仿宋_GB2312" w:cs="Times New Roman"/>
          <w:kern w:val="2"/>
          <w:sz w:val="32"/>
          <w:szCs w:val="32"/>
        </w:rPr>
      </w:pPr>
      <w:r>
        <w:rPr>
          <w:rFonts w:hint="eastAsia" w:ascii="仿宋_GB2312" w:eastAsia="仿宋_GB2312" w:cs="Times New Roman"/>
          <w:kern w:val="2"/>
          <w:sz w:val="32"/>
          <w:szCs w:val="32"/>
        </w:rPr>
        <w:t>国办发〔</w:t>
      </w:r>
      <w:r>
        <w:rPr>
          <w:rFonts w:ascii="仿宋_GB2312" w:eastAsia="仿宋_GB2312" w:cs="Times New Roman"/>
          <w:kern w:val="2"/>
          <w:sz w:val="32"/>
          <w:szCs w:val="32"/>
        </w:rPr>
        <w:t>2015</w:t>
      </w:r>
      <w:r>
        <w:rPr>
          <w:rFonts w:hint="eastAsia" w:ascii="仿宋_GB2312" w:eastAsia="仿宋_GB2312" w:cs="Times New Roman"/>
          <w:kern w:val="2"/>
          <w:sz w:val="32"/>
          <w:szCs w:val="32"/>
        </w:rPr>
        <w:t>〕</w:t>
      </w:r>
      <w:r>
        <w:rPr>
          <w:rFonts w:ascii="仿宋_GB2312" w:eastAsia="仿宋_GB2312" w:cs="Times New Roman"/>
          <w:kern w:val="2"/>
          <w:sz w:val="32"/>
          <w:szCs w:val="32"/>
        </w:rPr>
        <w:t>95</w:t>
      </w:r>
      <w:r>
        <w:rPr>
          <w:rFonts w:hint="eastAsia" w:ascii="仿宋_GB2312" w:eastAsia="仿宋_GB2312" w:cs="Times New Roman"/>
          <w:kern w:val="2"/>
          <w:sz w:val="32"/>
          <w:szCs w:val="32"/>
        </w:rPr>
        <w:t>号</w:t>
      </w:r>
      <w:r>
        <w:rPr>
          <w:rFonts w:ascii="仿宋_GB2312" w:eastAsia="仿宋_GB2312" w:cs="Times New Roman"/>
          <w:kern w:val="2"/>
          <w:sz w:val="32"/>
          <w:szCs w:val="32"/>
        </w:rPr>
        <w:t>(</w:t>
      </w:r>
      <w:r>
        <w:rPr>
          <w:rFonts w:hint="eastAsia" w:ascii="仿宋_GB2312" w:eastAsia="仿宋_GB2312" w:cs="Times New Roman"/>
          <w:kern w:val="2"/>
          <w:sz w:val="32"/>
          <w:szCs w:val="32"/>
        </w:rPr>
        <w:t>节选）</w:t>
      </w:r>
    </w:p>
    <w:p>
      <w:pPr>
        <w:spacing w:line="240" w:lineRule="atLeast"/>
        <w:ind w:firstLine="640" w:firstLineChars="200"/>
        <w:rPr>
          <w:rFonts w:ascii="仿宋_GB2312" w:hAnsi="Calibri" w:eastAsia="仿宋_GB2312"/>
          <w:sz w:val="32"/>
          <w:szCs w:val="32"/>
        </w:rPr>
      </w:pPr>
      <w:r>
        <w:rPr>
          <w:rFonts w:ascii="仿宋_GB2312" w:hAnsi="Calibri" w:eastAsia="仿宋_GB2312"/>
          <w:sz w:val="32"/>
          <w:szCs w:val="32"/>
        </w:rPr>
        <w:t>......</w:t>
      </w:r>
    </w:p>
    <w:p>
      <w:pPr>
        <w:numPr>
          <w:ilvl w:val="0"/>
          <w:numId w:val="1"/>
        </w:numPr>
        <w:spacing w:line="240" w:lineRule="atLeast"/>
        <w:ind w:firstLine="640" w:firstLineChars="200"/>
        <w:rPr>
          <w:rFonts w:ascii="仿宋_GB2312" w:hAnsi="Calibri" w:eastAsia="仿宋_GB2312"/>
          <w:sz w:val="32"/>
          <w:szCs w:val="32"/>
        </w:rPr>
      </w:pPr>
      <w:r>
        <w:rPr>
          <w:rFonts w:hint="eastAsia" w:ascii="楷体_GB2312" w:hAnsi="Calibri" w:eastAsia="楷体_GB2312"/>
          <w:color w:val="000000"/>
          <w:sz w:val="32"/>
        </w:rPr>
        <w:t>指导思想。</w:t>
      </w:r>
      <w:r>
        <w:rPr>
          <w:rFonts w:hint="eastAsia" w:ascii="仿宋_GB2312" w:hAnsi="Calibri" w:eastAsia="仿宋_GB2312"/>
          <w:sz w:val="32"/>
          <w:szCs w:val="32"/>
        </w:rPr>
        <w:t>贯彻落实党的十八大和十八届二中、三中、四中、五中全会精神，按照国务院决策部署，坚持以落实企业追溯管理责任为基础，以推进信息化追溯为方向，加强统筹规划，健全标准规范，创新推进模式，强化互通共享，加快建设覆盖全国、先进适用的重要产品追溯体系，促进质量安全综合治理，提升产品质量安全与公共安全水平，更好地满足人民群众生活和经济社会发展需要。</w:t>
      </w:r>
      <w:r>
        <w:rPr>
          <w:rFonts w:ascii="仿宋_GB2312" w:hAnsi="Calibri" w:eastAsia="仿宋_GB2312"/>
          <w:sz w:val="32"/>
          <w:szCs w:val="32"/>
        </w:rPr>
        <w:br w:type="textWrapping"/>
      </w:r>
      <w:r>
        <w:rPr>
          <w:rFonts w:hint="eastAsia" w:ascii="仿宋_GB2312" w:hAnsi="Calibri" w:eastAsia="仿宋_GB2312"/>
          <w:sz w:val="32"/>
          <w:szCs w:val="32"/>
        </w:rPr>
        <w:t>　　</w:t>
      </w:r>
      <w:r>
        <w:rPr>
          <w:rFonts w:hint="eastAsia" w:ascii="楷体_GB2312" w:hAnsi="Calibri" w:eastAsia="楷体_GB2312"/>
          <w:color w:val="000000"/>
          <w:sz w:val="32"/>
        </w:rPr>
        <w:t>（二）基本原则。</w:t>
      </w:r>
      <w:r>
        <w:rPr>
          <w:rFonts w:hint="eastAsia" w:ascii="仿宋_GB2312" w:hAnsi="Calibri" w:eastAsia="仿宋_GB2312"/>
          <w:sz w:val="32"/>
          <w:szCs w:val="32"/>
        </w:rPr>
        <w:t>坚持政府引导与市场化运作相结合，发挥企业主体作用，调动各方面积极性；坚持统筹规划与属地管理相结合，加强指导协调，层层落实责任；坚持形式多样与互联互通相结合，促进开放共享，提高运行效率；坚持政府监管与社会共治相结合，创新治理模式，保障消费安全和公共安全。</w:t>
      </w:r>
      <w:r>
        <w:rPr>
          <w:rFonts w:ascii="仿宋_GB2312" w:hAnsi="Calibri" w:eastAsia="仿宋_GB2312"/>
          <w:sz w:val="32"/>
          <w:szCs w:val="32"/>
        </w:rPr>
        <w:br w:type="textWrapping"/>
      </w:r>
      <w:r>
        <w:rPr>
          <w:rFonts w:hint="eastAsia" w:ascii="仿宋_GB2312" w:hAnsi="Calibri" w:eastAsia="仿宋_GB2312"/>
          <w:sz w:val="32"/>
          <w:szCs w:val="32"/>
        </w:rPr>
        <w:t>　　</w:t>
      </w:r>
      <w:r>
        <w:rPr>
          <w:rFonts w:hint="eastAsia" w:ascii="楷体_GB2312" w:hAnsi="Calibri" w:eastAsia="楷体_GB2312"/>
          <w:color w:val="000000"/>
          <w:sz w:val="32"/>
        </w:rPr>
        <w:t>（三）主要目标。</w:t>
      </w:r>
      <w:r>
        <w:rPr>
          <w:rFonts w:hint="eastAsia" w:ascii="仿宋_GB2312" w:hAnsi="Calibri" w:eastAsia="仿宋_GB2312"/>
          <w:sz w:val="32"/>
          <w:szCs w:val="32"/>
        </w:rPr>
        <w:t>到</w:t>
      </w:r>
      <w:r>
        <w:rPr>
          <w:rFonts w:ascii="仿宋_GB2312" w:hAnsi="Calibri" w:eastAsia="仿宋_GB2312"/>
          <w:sz w:val="32"/>
          <w:szCs w:val="32"/>
        </w:rPr>
        <w:t>2020</w:t>
      </w:r>
      <w:r>
        <w:rPr>
          <w:rFonts w:hint="eastAsia" w:ascii="仿宋_GB2312" w:hAnsi="Calibri" w:eastAsia="仿宋_GB2312"/>
          <w:sz w:val="32"/>
          <w:szCs w:val="32"/>
        </w:rPr>
        <w:t>年，追溯体系建设的规划标准体系得到完善，法规制度进一步健全；全国追溯数据统一共享交换机制基本形成，初步实现有关部门、地区和企业追溯信息互通共享；食用农产品、食品、药品、农业生产资料、特种设备、危险品、稀土产品等重要产品生产经营企业追溯意识显著增强，采用信息技术建设追溯体系的企业比例大幅提高；社会公众对追溯产品的认知度和接受度逐步提升，追溯体系建设市场环境明显改善。</w:t>
      </w:r>
    </w:p>
    <w:p>
      <w:pPr>
        <w:rPr>
          <w:rFonts w:ascii="仿宋_GB2312" w:hAnsi="Calibri" w:eastAsia="仿宋_GB2312"/>
          <w:sz w:val="32"/>
          <w:szCs w:val="32"/>
        </w:rPr>
      </w:pPr>
      <w:r>
        <w:rPr>
          <w:rFonts w:hint="eastAsia" w:ascii="仿宋_GB2312" w:hAnsi="Calibri" w:eastAsia="仿宋_GB2312"/>
          <w:sz w:val="32"/>
          <w:szCs w:val="32"/>
          <w:lang w:val="en-US" w:eastAsia="zh-CN"/>
        </w:rPr>
        <w:t xml:space="preserve">    </w:t>
      </w:r>
      <w:r>
        <w:rPr>
          <w:rFonts w:ascii="仿宋_GB2312" w:hAnsi="Calibri" w:eastAsia="仿宋_GB2312"/>
          <w:sz w:val="32"/>
          <w:szCs w:val="32"/>
        </w:rPr>
        <w:t>......</w:t>
      </w:r>
    </w:p>
    <w:p>
      <w:pPr>
        <w:numPr>
          <w:ilvl w:val="0"/>
          <w:numId w:val="2"/>
        </w:numPr>
        <w:ind w:firstLine="640" w:firstLineChars="200"/>
        <w:rPr>
          <w:rFonts w:hint="eastAsia" w:ascii="仿宋_GB2312" w:hAnsi="Calibri" w:eastAsia="仿宋_GB2312"/>
          <w:sz w:val="32"/>
          <w:szCs w:val="32"/>
        </w:rPr>
      </w:pPr>
      <w:r>
        <w:rPr>
          <w:rFonts w:hint="eastAsia" w:ascii="楷体_GB2312" w:hAnsi="Calibri" w:eastAsia="楷体_GB2312"/>
          <w:color w:val="000000"/>
          <w:sz w:val="32"/>
        </w:rPr>
        <w:t>完善标准规范。</w:t>
      </w:r>
      <w:r>
        <w:rPr>
          <w:rFonts w:hint="eastAsia" w:ascii="仿宋_GB2312" w:hAnsi="Calibri" w:eastAsia="仿宋_GB2312"/>
          <w:sz w:val="32"/>
          <w:szCs w:val="32"/>
        </w:rPr>
        <w:t>结合追溯体系建设实际需要，科学规划食用农产品、食品、药品、农业生产资料、特种设备、危险品、稀土产品追溯标准体系。针对不同产品生产流通特性，制订相应的建设规范，明确基本要求，采用简便适用的追溯方式。以确保不同环节信息互联互通、产品全过程通查通识为目标，抓紧制定实施一批关键共性标准，统一数据采集指标、传输格式、接口规范及编码规则。加强标准制定工作统筹，确保不同层级、不同类别的标准相协调。</w:t>
      </w:r>
    </w:p>
    <w:p>
      <w:pPr>
        <w:numPr>
          <w:ilvl w:val="0"/>
          <w:numId w:val="0"/>
        </w:numPr>
        <w:rPr>
          <w:rFonts w:ascii="仿宋_GB2312" w:hAnsi="Calibri" w:eastAsia="仿宋_GB2312"/>
          <w:sz w:val="32"/>
          <w:szCs w:val="32"/>
        </w:rPr>
      </w:pPr>
      <w:r>
        <w:rPr>
          <w:rFonts w:hint="eastAsia" w:ascii="楷体_GB2312" w:hAnsi="Calibri" w:eastAsia="楷体_GB2312"/>
          <w:color w:val="000000"/>
          <w:sz w:val="32"/>
          <w:lang w:val="en-US" w:eastAsia="zh-CN"/>
        </w:rPr>
        <w:t xml:space="preserve">    </w:t>
      </w:r>
      <w:r>
        <w:rPr>
          <w:rFonts w:hint="eastAsia" w:ascii="楷体_GB2312" w:hAnsi="Calibri" w:eastAsia="楷体_GB2312"/>
          <w:color w:val="000000"/>
          <w:sz w:val="32"/>
        </w:rPr>
        <w:t>（十二）发挥认证作用。</w:t>
      </w:r>
      <w:r>
        <w:rPr>
          <w:rFonts w:hint="eastAsia" w:ascii="仿宋_GB2312" w:hAnsi="Calibri" w:eastAsia="仿宋_GB2312"/>
          <w:sz w:val="32"/>
          <w:szCs w:val="32"/>
        </w:rPr>
        <w:t>探索以认证认可加强追溯体系建设，鼓励有关机构将追溯管理作为重要评价要求，纳入现有的质量管理体系、食品安全管理体系、药品生产质量管理规范、药品经营质量管理规范、良好农业操作规范、良好生产规范、危害分析与关键控制点体系、有机产品等认证，为广大生产经营企业提供市场化认证服务。适时支持专业的第三方认证机构探索建立追溯管理体系专门认证制度。相关部门可在管理工作中积极采信第三方认证结果，带动生产经营企业积极通过认证手段提升产品追溯管理水平。</w:t>
      </w:r>
      <w:r>
        <w:rPr>
          <w:rFonts w:ascii="仿宋_GB2312" w:hAnsi="Calibri" w:eastAsia="仿宋_GB2312"/>
          <w:sz w:val="32"/>
          <w:szCs w:val="32"/>
        </w:rPr>
        <w:br w:type="textWrapping"/>
      </w:r>
      <w:r>
        <w:rPr>
          <w:rFonts w:hint="eastAsia" w:ascii="仿宋_GB2312" w:hAnsi="Calibri" w:eastAsia="仿宋_GB2312"/>
          <w:sz w:val="32"/>
          <w:szCs w:val="32"/>
        </w:rPr>
        <w:t>　　</w:t>
      </w:r>
      <w:r>
        <w:rPr>
          <w:rFonts w:hint="eastAsia" w:ascii="楷体_GB2312" w:hAnsi="Calibri" w:eastAsia="楷体_GB2312"/>
          <w:color w:val="000000"/>
          <w:sz w:val="32"/>
        </w:rPr>
        <w:t>（十三）推进互联互通。</w:t>
      </w:r>
      <w:r>
        <w:rPr>
          <w:rFonts w:hint="eastAsia" w:ascii="仿宋_GB2312" w:hAnsi="Calibri" w:eastAsia="仿宋_GB2312"/>
          <w:sz w:val="32"/>
          <w:szCs w:val="32"/>
        </w:rPr>
        <w:t>建立完善政府追溯数据统一共享交换机制，积极探索政府与社会合作模式，推进各类追溯信息互通共享。有关部门和地区可根据需要，依托已有设施建设行业或地区追溯管理信息平台。鼓励生产经营企业、协会和第三方平台接入行业或地区追溯管理信息平台，实现上下游信息互联互通。开通统一的公共服务窗口，创新查询方式，面向社会公众提供追溯信息一站式查询服务。</w:t>
      </w:r>
    </w:p>
    <w:p>
      <w:pPr>
        <w:ind w:firstLine="640" w:firstLineChars="200"/>
        <w:rPr>
          <w:rFonts w:ascii="仿宋_GB2312" w:hAnsi="Calibri" w:eastAsia="仿宋_GB2312"/>
          <w:sz w:val="32"/>
          <w:szCs w:val="32"/>
        </w:rPr>
      </w:pPr>
      <w:r>
        <w:rPr>
          <w:rFonts w:hint="eastAsia" w:ascii="楷体_GB2312" w:hAnsi="Calibri" w:eastAsia="楷体_GB2312"/>
          <w:color w:val="000000"/>
          <w:sz w:val="32"/>
        </w:rPr>
        <w:t>（十四）强化企业主体责任。</w:t>
      </w:r>
      <w:r>
        <w:rPr>
          <w:rFonts w:hint="eastAsia" w:ascii="仿宋_GB2312" w:hAnsi="Calibri" w:eastAsia="仿宋_GB2312"/>
          <w:sz w:val="32"/>
          <w:szCs w:val="32"/>
        </w:rPr>
        <w:t>生产经营企业要严格遵守有关法律法规规定，建立健全追溯管理制度，切实履行主体责任。鼓励采用物联网等技术手段采集、留存信息，建立信息化的追溯体系。批发、零售、物流配送等流通企业要发挥供应链枢纽作用，带动生产企业共同打造全过程信息化追溯链条。企业间要探索建立多样化的协作机制，通过联营、合作、交叉持股等方式建立信息化追溯联合体。电子商务企业要与线下企业紧密融合，建设基于统一编码技术、线上线下一体的信息化追溯体系。外贸企业要兼顾国内外市场需求，建设内外一体的进出口信息化追溯体系。</w:t>
      </w:r>
      <w:r>
        <w:rPr>
          <w:rFonts w:ascii="仿宋_GB2312" w:hAnsi="Calibri" w:eastAsia="仿宋_GB2312"/>
          <w:sz w:val="32"/>
          <w:szCs w:val="32"/>
        </w:rPr>
        <w:br w:type="textWrapping"/>
      </w:r>
      <w:r>
        <w:rPr>
          <w:rFonts w:hint="eastAsia" w:ascii="仿宋_GB2312" w:hAnsi="Calibri" w:eastAsia="仿宋_GB2312"/>
          <w:sz w:val="32"/>
          <w:szCs w:val="32"/>
        </w:rPr>
        <w:t>　　</w:t>
      </w:r>
      <w:r>
        <w:rPr>
          <w:rFonts w:hint="eastAsia" w:ascii="楷体_GB2312" w:hAnsi="Calibri" w:eastAsia="楷体_GB2312"/>
          <w:color w:val="000000"/>
          <w:sz w:val="32"/>
        </w:rPr>
        <w:t>（十五）发挥政府督促引导作用。</w:t>
      </w:r>
      <w:r>
        <w:rPr>
          <w:rFonts w:hint="eastAsia" w:ascii="仿宋_GB2312" w:hAnsi="Calibri" w:eastAsia="仿宋_GB2312"/>
          <w:sz w:val="32"/>
          <w:szCs w:val="32"/>
        </w:rPr>
        <w:t>有关部门要加强对生产经营企业的监督检查，督促企业严格遵守追溯管理制度，建立健全追溯体系。围绕追溯体系建设的重点、难点和薄弱环节，开展形式多样的示范创建活动。已列入有关部门开展的农产品质量安全、食品药品安全、质量强市、质量提升等创建活动的地区，尤其要加大示范创建力度，创造可复制可推广的经验。有条件的地方可针对部分安全风险隐患大、社会反映强烈的产品，在本行政区域内依法强制要求生产经营企业采用信息化手段建设追溯体系。</w:t>
      </w:r>
      <w:r>
        <w:rPr>
          <w:rFonts w:ascii="仿宋_GB2312" w:hAnsi="Calibri" w:eastAsia="仿宋_GB2312"/>
          <w:sz w:val="32"/>
          <w:szCs w:val="32"/>
        </w:rPr>
        <w:br w:type="textWrapping"/>
      </w:r>
      <w:r>
        <w:rPr>
          <w:rFonts w:hint="eastAsia" w:ascii="仿宋_GB2312" w:hAnsi="Calibri" w:eastAsia="仿宋_GB2312"/>
          <w:sz w:val="32"/>
          <w:szCs w:val="32"/>
        </w:rPr>
        <w:t>　　</w:t>
      </w:r>
      <w:r>
        <w:rPr>
          <w:rFonts w:hint="eastAsia" w:ascii="楷体_GB2312" w:hAnsi="Calibri" w:eastAsia="楷体_GB2312"/>
          <w:color w:val="000000"/>
          <w:sz w:val="32"/>
        </w:rPr>
        <w:t>（十六）支持协会积极参与。</w:t>
      </w:r>
      <w:r>
        <w:rPr>
          <w:rFonts w:hint="eastAsia" w:ascii="仿宋_GB2312" w:hAnsi="Calibri" w:eastAsia="仿宋_GB2312"/>
          <w:sz w:val="32"/>
          <w:szCs w:val="32"/>
        </w:rPr>
        <w:t>行业协会要深入开展有关法律法规和标准宣传贯彻活动，创新自律手段和机制，推动会员企业提高积极性，主动建设追溯体系，形成有效的自律推进机制。有条件的行业协会可投资建设追溯信息平台，采用市场化方式引导会员企业建设追溯体系，形成行业性示范品牌。支持有条件的行业协会提升服务功能，为会员企业建设追溯体系提供专业化服务。</w:t>
      </w:r>
      <w:r>
        <w:rPr>
          <w:rFonts w:ascii="仿宋_GB2312" w:hAnsi="Calibri" w:eastAsia="仿宋_GB2312"/>
          <w:sz w:val="32"/>
          <w:szCs w:val="32"/>
        </w:rPr>
        <w:br w:type="textWrapping"/>
      </w:r>
      <w:r>
        <w:rPr>
          <w:rFonts w:hint="eastAsia" w:ascii="仿宋_GB2312" w:hAnsi="Calibri" w:eastAsia="仿宋_GB2312"/>
          <w:sz w:val="32"/>
          <w:szCs w:val="32"/>
        </w:rPr>
        <w:t>　　</w:t>
      </w:r>
      <w:r>
        <w:rPr>
          <w:rFonts w:hint="eastAsia" w:ascii="楷体_GB2312" w:hAnsi="Calibri" w:eastAsia="楷体_GB2312"/>
          <w:color w:val="000000"/>
          <w:sz w:val="32"/>
        </w:rPr>
        <w:t>（十七）发展追溯服务产业。</w:t>
      </w:r>
      <w:r>
        <w:rPr>
          <w:rFonts w:hint="eastAsia" w:ascii="仿宋_GB2312" w:hAnsi="Calibri" w:eastAsia="仿宋_GB2312"/>
          <w:sz w:val="32"/>
          <w:szCs w:val="32"/>
        </w:rPr>
        <w:t>支持社会力量和资本投入追溯体系建设，培育创新创业新领域。支持有关机构建设第三方追溯平台，采用市场化方式吸引企业加盟，打造追溯体系建设的众创空间。探索通过政府和社会资本合作（</w:t>
      </w:r>
      <w:r>
        <w:rPr>
          <w:rFonts w:ascii="仿宋_GB2312" w:hAnsi="Calibri" w:eastAsia="仿宋_GB2312"/>
          <w:sz w:val="32"/>
          <w:szCs w:val="32"/>
        </w:rPr>
        <w:t>PPP</w:t>
      </w:r>
      <w:r>
        <w:rPr>
          <w:rFonts w:hint="eastAsia" w:ascii="仿宋_GB2312" w:hAnsi="Calibri" w:eastAsia="仿宋_GB2312"/>
          <w:sz w:val="32"/>
          <w:szCs w:val="32"/>
        </w:rPr>
        <w:t>）模式建立追溯体系云服务平台，为广大中小微企业提供信息化追溯管理云服务。支持技术研发、系统集成、咨询、监理、测试及大数据分析应用等机构积极参与，为企业追溯体系建设及日常运行管理提供专业服务，形成完善的配套服务产业链。</w:t>
      </w:r>
    </w:p>
    <w:p>
      <w:pPr>
        <w:ind w:firstLine="640" w:firstLineChars="200"/>
        <w:rPr>
          <w:rFonts w:ascii="仿宋_GB2312" w:hAnsi="Calibri" w:eastAsia="仿宋_GB2312"/>
          <w:sz w:val="32"/>
          <w:szCs w:val="32"/>
        </w:rPr>
      </w:pPr>
      <w:r>
        <w:rPr>
          <w:rFonts w:hint="eastAsia" w:ascii="楷体_GB2312" w:hAnsi="Calibri" w:eastAsia="楷体_GB2312"/>
          <w:color w:val="000000"/>
          <w:sz w:val="32"/>
        </w:rPr>
        <w:t>（十八）促进质量安全综合治理。</w:t>
      </w:r>
      <w:r>
        <w:rPr>
          <w:rFonts w:hint="eastAsia" w:ascii="仿宋_GB2312" w:hAnsi="Calibri" w:eastAsia="仿宋_GB2312"/>
          <w:sz w:val="32"/>
          <w:szCs w:val="32"/>
        </w:rPr>
        <w:t>推进追溯体系与检验检测体系、企业内部质量管理体系对接，打造严密的全过程质量安全管控链条。发挥追溯信息共享交换机制作用，创新质量安全和公共安全监管模式，探索实施产品全过程智能化</w:t>
      </w:r>
      <w:r>
        <w:rPr>
          <w:rFonts w:ascii="仿宋_GB2312" w:hAnsi="Calibri" w:eastAsia="仿宋_GB2312"/>
          <w:sz w:val="32"/>
          <w:szCs w:val="32"/>
        </w:rPr>
        <w:t>“</w:t>
      </w:r>
      <w:r>
        <w:rPr>
          <w:rFonts w:hint="eastAsia" w:ascii="仿宋_GB2312" w:hAnsi="Calibri" w:eastAsia="仿宋_GB2312"/>
          <w:sz w:val="32"/>
          <w:szCs w:val="32"/>
        </w:rPr>
        <w:t>云监管</w:t>
      </w:r>
      <w:r>
        <w:rPr>
          <w:rFonts w:ascii="仿宋_GB2312" w:hAnsi="Calibri" w:eastAsia="仿宋_GB2312"/>
          <w:sz w:val="32"/>
          <w:szCs w:val="32"/>
        </w:rPr>
        <w:t>”</w:t>
      </w:r>
      <w:r>
        <w:rPr>
          <w:rFonts w:hint="eastAsia" w:ascii="仿宋_GB2312" w:hAnsi="Calibri" w:eastAsia="仿宋_GB2312"/>
          <w:sz w:val="32"/>
          <w:szCs w:val="32"/>
        </w:rPr>
        <w:t>。构建大数据监管模型，完善预测预警机制，严防重要产品发生区域性、系统性安全风险。充分挖掘追溯数据在企业质量信用评价中的应用价值，完善质量诚信自律机制。建立智能化的产品质量安全投诉、责任主体定位、销售范围及影响评估、问题产品召回及应急处置等机制，调动公众参与质量安全和公共安全治理的积极性。</w:t>
      </w:r>
      <w:r>
        <w:rPr>
          <w:rFonts w:ascii="仿宋_GB2312" w:hAnsi="Calibri" w:eastAsia="仿宋_GB2312"/>
          <w:sz w:val="32"/>
          <w:szCs w:val="32"/>
        </w:rPr>
        <w:br w:type="textWrapping"/>
      </w:r>
      <w:r>
        <w:rPr>
          <w:rFonts w:hint="eastAsia" w:ascii="仿宋_GB2312" w:hAnsi="Calibri" w:eastAsia="仿宋_GB2312"/>
          <w:sz w:val="32"/>
          <w:szCs w:val="32"/>
        </w:rPr>
        <w:t>　　</w:t>
      </w:r>
      <w:r>
        <w:rPr>
          <w:rFonts w:ascii="仿宋_GB2312" w:hAnsi="Calibri" w:eastAsia="仿宋_GB2312"/>
          <w:sz w:val="32"/>
          <w:szCs w:val="32"/>
        </w:rPr>
        <w:t>......</w:t>
      </w:r>
    </w:p>
    <w:p>
      <w:pPr>
        <w:ind w:firstLine="640" w:firstLineChars="200"/>
        <w:rPr>
          <w:rFonts w:hint="eastAsia" w:ascii="仿宋_GB2312" w:hAnsi="Calibri" w:eastAsia="仿宋_GB2312"/>
          <w:sz w:val="32"/>
          <w:szCs w:val="32"/>
        </w:rPr>
      </w:pPr>
      <w:r>
        <w:rPr>
          <w:rFonts w:hint="eastAsia" w:ascii="楷体_GB2312" w:hAnsi="Calibri" w:eastAsia="楷体_GB2312"/>
          <w:color w:val="000000"/>
          <w:sz w:val="32"/>
        </w:rPr>
        <w:t>（二十二）加强政策支持。</w:t>
      </w:r>
      <w:r>
        <w:rPr>
          <w:rFonts w:hint="eastAsia" w:ascii="仿宋_GB2312" w:hAnsi="Calibri" w:eastAsia="仿宋_GB2312"/>
          <w:sz w:val="32"/>
          <w:szCs w:val="32"/>
        </w:rPr>
        <w:t>推动建立多元化的投资建设机制，加大政策支持力度，带动社会资本投入。鼓励金融机构加强和改进金融服务，为开展追溯体系建设的企业提供信贷支持和产品责任保险。政府采购在同等条件下优先采购可追溯产品。完善追溯技术研发与相关产业促进政策。</w:t>
      </w:r>
      <w:r>
        <w:rPr>
          <w:rFonts w:ascii="仿宋_GB2312" w:hAnsi="Calibri" w:eastAsia="仿宋_GB2312"/>
          <w:sz w:val="32"/>
          <w:szCs w:val="32"/>
        </w:rPr>
        <w:br w:type="textWrapping"/>
      </w:r>
      <w:r>
        <w:rPr>
          <w:rFonts w:hint="eastAsia" w:ascii="仿宋_GB2312" w:hAnsi="Calibri" w:eastAsia="仿宋_GB2312"/>
          <w:sz w:val="32"/>
          <w:szCs w:val="32"/>
        </w:rPr>
        <w:t>　　</w:t>
      </w:r>
      <w:r>
        <w:rPr>
          <w:rFonts w:hint="eastAsia" w:ascii="楷体_GB2312" w:hAnsi="Calibri" w:eastAsia="楷体_GB2312"/>
          <w:color w:val="000000"/>
          <w:sz w:val="32"/>
        </w:rPr>
        <w:t>（二十三）落实工作责任。</w:t>
      </w:r>
      <w:r>
        <w:rPr>
          <w:rFonts w:hint="eastAsia" w:ascii="仿宋_GB2312" w:hAnsi="Calibri" w:eastAsia="仿宋_GB2312"/>
          <w:sz w:val="32"/>
          <w:szCs w:val="32"/>
        </w:rPr>
        <w:t>地方各级人民政府要将重要产品追溯体系建设作为一项重要的民生工程和公益性事业，结合实际研究制定具体实施方案，明确任务目标及工作重点，出台有针对性的政策措施，落实部门职责分工及进度安排，确保各项任务落到实处。有关部门要按照职责分工，加强协调，密切配合，共同推进。商务部要会同有关部门加强对地方工作的检查指导。</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MS PMincho">
    <w:panose1 w:val="02020600040205080304"/>
    <w:charset w:val="80"/>
    <w:family w:val="roman"/>
    <w:pitch w:val="default"/>
    <w:sig w:usb0="E00002FF" w:usb1="6AC7FDFB" w:usb2="00000012" w:usb3="00000000" w:csb0="4002009F" w:csb1="DFD70000"/>
  </w:font>
  <w:font w:name="方正小标宋简体">
    <w:altName w:val="Arial Unicode MS"/>
    <w:panose1 w:val="02010601030101010101"/>
    <w:charset w:val="86"/>
    <w:family w:val="auto"/>
    <w:pitch w:val="default"/>
    <w:sig w:usb0="00000000" w:usb1="00000000" w:usb2="00000010" w:usb3="00000000" w:csb0="00040000" w:csb1="00000000"/>
  </w:font>
  <w:font w:name="µÈÏß Western">
    <w:altName w:val="Arial Unicode MS"/>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D25C2"/>
    <w:multiLevelType w:val="singleLevel"/>
    <w:tmpl w:val="58AD25C2"/>
    <w:lvl w:ilvl="0" w:tentative="0">
      <w:start w:val="1"/>
      <w:numFmt w:val="chineseCounting"/>
      <w:suff w:val="nothing"/>
      <w:lvlText w:val="（%1）"/>
      <w:lvlJc w:val="left"/>
      <w:rPr>
        <w:rFonts w:cs="Times New Roman"/>
      </w:rPr>
    </w:lvl>
  </w:abstractNum>
  <w:abstractNum w:abstractNumId="1">
    <w:nsid w:val="58BD0E4B"/>
    <w:multiLevelType w:val="singleLevel"/>
    <w:tmpl w:val="58BD0E4B"/>
    <w:lvl w:ilvl="0" w:tentative="0">
      <w:start w:val="1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2C2617"/>
    <w:rsid w:val="502C261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after="100"/>
      <w:jc w:val="left"/>
    </w:pPr>
    <w:rPr>
      <w:rFonts w:ascii="Calibri" w:hAnsi="Calibri" w:cs="Calibri"/>
      <w:color w:val="000000"/>
      <w:kern w:val="0"/>
      <w:sz w:val="24"/>
      <w:szCs w:val="24"/>
      <w:u w:color="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2017-03-24T06:18:00Z</dcterms:created>
  <dc:creator>caq</dc:creator>
  <cp:lastModifiedBy>caq</cp:lastModifiedBy>
  <dcterms:modified xsi:type="dcterms:W3CDTF">2017-03-24T06:18:44Z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