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精益项目见习评委研修课程大纲</w:t>
      </w:r>
    </w:p>
    <w:p>
      <w:pPr>
        <w:snapToGrid w:val="0"/>
        <w:jc w:val="center"/>
        <w:rPr>
          <w:rFonts w:ascii="方正小标宋简体" w:hAnsi="黑体" w:eastAsia="方正小标宋简体"/>
          <w:sz w:val="44"/>
          <w:szCs w:val="44"/>
        </w:rPr>
      </w:pPr>
    </w:p>
    <w:p>
      <w:pPr>
        <w:spacing w:line="312" w:lineRule="auto"/>
        <w:ind w:firstLine="640"/>
        <w:rPr>
          <w:rFonts w:ascii="幼圆" w:hAnsi="宋体" w:eastAsia="幼圆"/>
          <w:sz w:val="24"/>
          <w:szCs w:val="24"/>
        </w:rPr>
      </w:pPr>
      <w:r>
        <w:rPr>
          <w:rFonts w:hint="eastAsia" w:ascii="黑体" w:hAnsi="黑体" w:eastAsia="黑体" w:cs="黑体"/>
          <w:sz w:val="32"/>
          <w:szCs w:val="32"/>
        </w:rPr>
        <w:t>一、精益项目评价标准解读</w:t>
      </w:r>
    </w:p>
    <w:p>
      <w:pPr>
        <w:numPr>
          <w:ilvl w:val="0"/>
          <w:numId w:val="1"/>
        </w:numPr>
        <w:spacing w:line="312" w:lineRule="auto"/>
        <w:ind w:firstLine="64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精益项目在精益管理推进中的作用</w:t>
      </w:r>
    </w:p>
    <w:p>
      <w:pPr>
        <w:numPr>
          <w:ilvl w:val="0"/>
          <w:numId w:val="1"/>
        </w:numPr>
        <w:spacing w:line="312" w:lineRule="auto"/>
        <w:ind w:firstLine="64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精益项目评价要素与评价要点</w:t>
      </w:r>
    </w:p>
    <w:p>
      <w:pPr>
        <w:numPr>
          <w:ilvl w:val="0"/>
          <w:numId w:val="1"/>
        </w:numPr>
        <w:spacing w:line="312" w:lineRule="auto"/>
        <w:ind w:firstLine="64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精益项目发表赛-项目优势与不足解读</w:t>
      </w:r>
    </w:p>
    <w:p>
      <w:pPr>
        <w:spacing w:line="312" w:lineRule="auto"/>
        <w:rPr>
          <w:rFonts w:ascii="幼圆" w:hAnsi="宋体" w:eastAsia="幼圆"/>
          <w:sz w:val="24"/>
          <w:szCs w:val="24"/>
        </w:rPr>
      </w:pPr>
    </w:p>
    <w:p>
      <w:pPr>
        <w:spacing w:line="312" w:lineRule="auto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二、项目实施专题研讨</w:t>
      </w:r>
    </w:p>
    <w:p>
      <w:pPr>
        <w:numPr>
          <w:ilvl w:val="0"/>
          <w:numId w:val="2"/>
        </w:numPr>
        <w:spacing w:line="312" w:lineRule="auto"/>
        <w:ind w:firstLine="64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价值流与价值流分析</w:t>
      </w:r>
    </w:p>
    <w:p>
      <w:pPr>
        <w:numPr>
          <w:ilvl w:val="0"/>
          <w:numId w:val="2"/>
        </w:numPr>
        <w:spacing w:line="312" w:lineRule="auto"/>
        <w:ind w:firstLine="64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JIT/自働化与系统性改进</w:t>
      </w:r>
    </w:p>
    <w:p>
      <w:pPr>
        <w:numPr>
          <w:ilvl w:val="0"/>
          <w:numId w:val="2"/>
        </w:numPr>
        <w:spacing w:line="312" w:lineRule="auto"/>
        <w:ind w:firstLine="64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5S、目视化、标准化与项目实施</w:t>
      </w:r>
    </w:p>
    <w:p>
      <w:pPr>
        <w:numPr>
          <w:ilvl w:val="0"/>
          <w:numId w:val="2"/>
        </w:numPr>
        <w:spacing w:line="312" w:lineRule="auto"/>
        <w:ind w:firstLine="64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精益项目与日常化管控</w:t>
      </w:r>
    </w:p>
    <w:p>
      <w:pPr>
        <w:spacing w:line="312" w:lineRule="auto"/>
        <w:ind w:left="142"/>
        <w:rPr>
          <w:rFonts w:ascii="幼圆" w:hAnsi="宋体" w:eastAsia="幼圆"/>
          <w:sz w:val="24"/>
          <w:szCs w:val="24"/>
        </w:rPr>
      </w:pPr>
    </w:p>
    <w:p>
      <w:pPr>
        <w:spacing w:line="312" w:lineRule="auto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三、项目试评价与案例点评</w:t>
      </w:r>
    </w:p>
    <w:p>
      <w:pPr>
        <w:numPr>
          <w:ilvl w:val="0"/>
          <w:numId w:val="3"/>
        </w:numPr>
        <w:spacing w:line="312" w:lineRule="auto"/>
        <w:ind w:firstLine="64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制造类项目案例 </w:t>
      </w:r>
    </w:p>
    <w:p>
      <w:pPr>
        <w:numPr>
          <w:ilvl w:val="0"/>
          <w:numId w:val="3"/>
        </w:numPr>
        <w:spacing w:line="312" w:lineRule="auto"/>
        <w:ind w:firstLine="64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服务类项目案例 </w:t>
      </w:r>
    </w:p>
    <w:p>
      <w:pPr>
        <w:numPr>
          <w:ilvl w:val="0"/>
          <w:numId w:val="3"/>
        </w:numPr>
        <w:spacing w:line="312" w:lineRule="auto"/>
        <w:ind w:firstLine="64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行政管理类项目案例</w:t>
      </w:r>
    </w:p>
    <w:p>
      <w:pPr>
        <w:spacing w:line="312" w:lineRule="auto"/>
        <w:ind w:left="360" w:firstLine="0" w:firstLineChars="0"/>
        <w:rPr>
          <w:rFonts w:ascii="幼圆" w:hAnsi="宋体" w:eastAsia="幼圆"/>
          <w:sz w:val="24"/>
          <w:szCs w:val="24"/>
        </w:rPr>
      </w:pPr>
    </w:p>
    <w:p>
      <w:pPr>
        <w:spacing w:line="560" w:lineRule="exact"/>
        <w:jc w:val="left"/>
        <w:rPr>
          <w:rFonts w:ascii="仿宋_GB2312" w:eastAsia="仿宋_GB2312"/>
          <w:sz w:val="28"/>
        </w:rPr>
        <w:sectPr>
          <w:footerReference r:id="rId3" w:type="default"/>
          <w:footerReference r:id="rId4" w:type="even"/>
          <w:pgSz w:w="11906" w:h="16838"/>
          <w:pgMar w:top="1985" w:right="1531" w:bottom="2155" w:left="1531" w:header="851" w:footer="1418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宋体-18030">
    <w:altName w:val="SimSun-ExtB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ordWrap w:val="0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5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4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B5C8E"/>
    <w:multiLevelType w:val="singleLevel"/>
    <w:tmpl w:val="595B5C8E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595B5D13"/>
    <w:multiLevelType w:val="singleLevel"/>
    <w:tmpl w:val="595B5D13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">
    <w:nsid w:val="595B5D29"/>
    <w:multiLevelType w:val="singleLevel"/>
    <w:tmpl w:val="595B5D29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452A2C"/>
    <w:rsid w:val="41452A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sz w:val="21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2017-07-10T02:40:00Z</dcterms:created>
  <dc:creator>wufan</dc:creator>
  <cp:lastModifiedBy>wufan</cp:lastModifiedBy>
  <dcterms:modified xsi:type="dcterms:W3CDTF">2017-07-10T02:41:17Z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