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黑体" w:eastAsia="仿宋_GB2312" w:cs="黑体"/>
          <w:b/>
          <w:bCs/>
          <w:sz w:val="36"/>
          <w:szCs w:val="36"/>
        </w:rPr>
      </w:pPr>
      <w:r>
        <w:rPr>
          <w:rFonts w:hint="eastAsia" w:ascii="仿宋_GB2312" w:hAnsi="黑体" w:eastAsia="仿宋_GB2312" w:cs="黑体"/>
          <w:b/>
          <w:bCs/>
          <w:sz w:val="36"/>
          <w:szCs w:val="36"/>
        </w:rPr>
        <w:t>2017年全国“质量标杆”</w:t>
      </w:r>
      <w:bookmarkStart w:id="0" w:name="_GoBack"/>
      <w:bookmarkEnd w:id="0"/>
      <w:r>
        <w:rPr>
          <w:rFonts w:hint="eastAsia" w:ascii="仿宋_GB2312" w:hAnsi="黑体" w:eastAsia="仿宋_GB2312" w:cs="黑体"/>
          <w:b/>
          <w:bCs/>
          <w:sz w:val="36"/>
          <w:szCs w:val="36"/>
        </w:rPr>
        <w:t>名单</w:t>
      </w:r>
    </w:p>
    <w:tbl>
      <w:tblPr>
        <w:tblStyle w:val="4"/>
        <w:tblpPr w:leftFromText="180" w:rightFromText="180" w:vertAnchor="text" w:horzAnchor="page" w:tblpX="1019" w:tblpY="309"/>
        <w:tblOverlap w:val="never"/>
        <w:tblW w:w="9915" w:type="dxa"/>
        <w:tblInd w:w="0" w:type="dxa"/>
        <w:tblLayout w:type="fixed"/>
        <w:tblCellMar>
          <w:top w:w="15" w:type="dxa"/>
          <w:left w:w="15" w:type="dxa"/>
          <w:bottom w:w="15" w:type="dxa"/>
          <w:right w:w="15" w:type="dxa"/>
        </w:tblCellMar>
      </w:tblPr>
      <w:tblGrid>
        <w:gridCol w:w="1080"/>
        <w:gridCol w:w="5265"/>
        <w:gridCol w:w="3570"/>
      </w:tblGrid>
      <w:tr>
        <w:tblPrEx>
          <w:tblLayout w:type="fixed"/>
          <w:tblCellMar>
            <w:top w:w="15" w:type="dxa"/>
            <w:left w:w="15" w:type="dxa"/>
            <w:bottom w:w="15" w:type="dxa"/>
            <w:right w:w="15" w:type="dxa"/>
          </w:tblCellMar>
        </w:tblPrEx>
        <w:trPr>
          <w:trHeight w:val="1170" w:hRule="atLeast"/>
        </w:trPr>
        <w:tc>
          <w:tcPr>
            <w:tcW w:w="108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sz w:val="28"/>
                <w:szCs w:val="28"/>
              </w:rPr>
              <w:t>序号</w:t>
            </w:r>
          </w:p>
        </w:tc>
        <w:tc>
          <w:tcPr>
            <w:tcW w:w="5265"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sz w:val="28"/>
                <w:szCs w:val="28"/>
              </w:rPr>
              <w:t>项目名称</w:t>
            </w:r>
          </w:p>
        </w:tc>
        <w:tc>
          <w:tcPr>
            <w:tcW w:w="3570"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sz w:val="28"/>
                <w:szCs w:val="28"/>
              </w:rPr>
              <w:t>方向</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kern w:val="0"/>
                <w:sz w:val="28"/>
                <w:szCs w:val="28"/>
              </w:rPr>
            </w:pPr>
            <w:r>
              <w:rPr>
                <w:rFonts w:hint="eastAsia" w:ascii="宋体" w:hAnsi="宋体" w:cs="宋体"/>
                <w:color w:val="000000"/>
                <w:kern w:val="0"/>
                <w:sz w:val="28"/>
                <w:szCs w:val="28"/>
              </w:rPr>
              <w:t>安琪酵母股份有限公司实施CIP无菌管理模式的经验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北京京东方显示技术有限公司绿色产品全生命周期管理经验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大博医疗科技股份有限公司实施数字化车间全员参与质量管理的实践经验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大族激光科技产业集团股份有限公司实施激光设备可靠性与评价体系的实践经验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5</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德力西电气有限公司实施以客户</w:t>
            </w:r>
            <w:r>
              <w:rPr>
                <w:rStyle w:val="5"/>
                <w:rFonts w:hint="default"/>
              </w:rPr>
              <w:t>为导向的全面质量战略经验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6</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福建新大陆电脑股份有限公司实施电子产品可靠性综合解决方案的经验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7</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广东美的制冷设备有限公司实施全价值链精品工程的实践经验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8</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桂林三金药业股份有限公司实施卓越绩效模式的实践经验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9</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加西贝拉压缩机有限公司聚焦现场的质量过程管控实践经验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10</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江苏自动化研究所（中国船舶重工集团公司第七一六研究所）实施基于卓越绩效模式的“四全”质量管理经验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11</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泸州老窖股份有限公司实施HWM模式的产业链全程风险管理的经验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12</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山东豪迈机械科技股份有限公司实施CDM规模定制质量管理模式的经验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13</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山东临工工程机械有限公司实施“一全二创三结合”创新管理模式的经验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14</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山东罗欣药业集团股份有限公司实施PETH国际质量对标管理的经验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15</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山东南山纺织服饰有限公司实施产品生态安全质量管理的实践经验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16</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深圳市水务（集团）有限公司运用HACCP的实践经验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17</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深圳一电科技有限公司实施“双标准全流程”的实践经验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18</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TCL王牌电器（惠州）有限公司实施基于风险预防的质量管理实践经验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19</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天津红日药业股份有限公司实施无限近零风险质量管理的经验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20</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天能电池集团（安徽）有限公司实施“产品质量一致性管理”的经验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21</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新疆金风科技股份有限公司实施全面质量管理的经验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22</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邢台钢铁有限责任公司实施卓越绩效模式的实践经验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23</w:t>
            </w:r>
          </w:p>
        </w:tc>
        <w:tc>
          <w:tcPr>
            <w:tcW w:w="5265" w:type="dxa"/>
            <w:tcBorders>
              <w:top w:val="single" w:color="000000" w:sz="4" w:space="0"/>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永高股份有限公司实施YES卓越质量管理模式的经验</w:t>
            </w:r>
          </w:p>
        </w:tc>
        <w:tc>
          <w:tcPr>
            <w:tcW w:w="3570" w:type="dxa"/>
            <w:tcBorders>
              <w:top w:val="single" w:color="000000" w:sz="4"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17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24</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悦康药业集团有限公司实施药品全过程动态质量管理的经验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08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25</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浙江大华技术股份有限公司实施基于卓越绩效模式的创新型过程管理模型的构建与实践经验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08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26</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珠海凌达压缩机有限公司实施“全员QC 小组活动”的实践经验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全面质量管理</w:t>
            </w:r>
          </w:p>
        </w:tc>
      </w:tr>
      <w:tr>
        <w:tblPrEx>
          <w:tblLayout w:type="fixed"/>
          <w:tblCellMar>
            <w:top w:w="15" w:type="dxa"/>
            <w:left w:w="15" w:type="dxa"/>
            <w:bottom w:w="15" w:type="dxa"/>
            <w:right w:w="15" w:type="dxa"/>
          </w:tblCellMar>
        </w:tblPrEx>
        <w:trPr>
          <w:trHeight w:val="108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27</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北京东方雨虹防水技术股份有限公司产品唯一身份全供应链管理协同系统</w:t>
            </w:r>
            <w:r>
              <w:rPr>
                <w:rStyle w:val="5"/>
                <w:rFonts w:hint="default"/>
              </w:rPr>
              <w:t>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“互联网</w:t>
            </w:r>
            <w:r>
              <w:rPr>
                <w:rStyle w:val="6"/>
              </w:rPr>
              <w:t>+</w:t>
            </w:r>
            <w:r>
              <w:rPr>
                <w:rStyle w:val="7"/>
                <w:rFonts w:hint="default"/>
              </w:rPr>
              <w:t>”应用</w:t>
            </w:r>
          </w:p>
        </w:tc>
      </w:tr>
      <w:tr>
        <w:tblPrEx>
          <w:tblLayout w:type="fixed"/>
          <w:tblCellMar>
            <w:top w:w="15" w:type="dxa"/>
            <w:left w:w="15" w:type="dxa"/>
            <w:bottom w:w="15" w:type="dxa"/>
            <w:right w:w="15" w:type="dxa"/>
          </w:tblCellMar>
        </w:tblPrEx>
        <w:trPr>
          <w:trHeight w:val="108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28</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福建百宏聚纤科技实业有限公司实施智能制造推动质量管理的经验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“互联网</w:t>
            </w:r>
            <w:r>
              <w:rPr>
                <w:rStyle w:val="6"/>
              </w:rPr>
              <w:t>+</w:t>
            </w:r>
            <w:r>
              <w:rPr>
                <w:rStyle w:val="7"/>
                <w:rFonts w:hint="default"/>
              </w:rPr>
              <w:t>”应用</w:t>
            </w:r>
          </w:p>
        </w:tc>
      </w:tr>
      <w:tr>
        <w:tblPrEx>
          <w:tblLayout w:type="fixed"/>
          <w:tblCellMar>
            <w:top w:w="15" w:type="dxa"/>
            <w:left w:w="15" w:type="dxa"/>
            <w:bottom w:w="15" w:type="dxa"/>
            <w:right w:w="15" w:type="dxa"/>
          </w:tblCellMar>
        </w:tblPrEx>
        <w:trPr>
          <w:trHeight w:val="108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29</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湖南科美达电气股份有限公司开放式研发质量提升的综合管理经验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“互联网</w:t>
            </w:r>
            <w:r>
              <w:rPr>
                <w:rStyle w:val="6"/>
              </w:rPr>
              <w:t>+</w:t>
            </w:r>
            <w:r>
              <w:rPr>
                <w:rStyle w:val="7"/>
                <w:rFonts w:hint="default"/>
              </w:rPr>
              <w:t>”应用</w:t>
            </w:r>
          </w:p>
        </w:tc>
      </w:tr>
      <w:tr>
        <w:tblPrEx>
          <w:tblLayout w:type="fixed"/>
          <w:tblCellMar>
            <w:top w:w="15" w:type="dxa"/>
            <w:left w:w="15" w:type="dxa"/>
            <w:bottom w:w="15" w:type="dxa"/>
            <w:right w:w="15" w:type="dxa"/>
          </w:tblCellMar>
        </w:tblPrEx>
        <w:trPr>
          <w:trHeight w:val="108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30</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江西金虎保险设备集团有限公司实施人单合一创新增效的成功经验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“互联网</w:t>
            </w:r>
            <w:r>
              <w:rPr>
                <w:rStyle w:val="6"/>
              </w:rPr>
              <w:t>+</w:t>
            </w:r>
            <w:r>
              <w:rPr>
                <w:rStyle w:val="7"/>
                <w:rFonts w:hint="default"/>
              </w:rPr>
              <w:t>”应用</w:t>
            </w:r>
          </w:p>
        </w:tc>
      </w:tr>
      <w:tr>
        <w:tblPrEx>
          <w:tblLayout w:type="fixed"/>
          <w:tblCellMar>
            <w:top w:w="15" w:type="dxa"/>
            <w:left w:w="15" w:type="dxa"/>
            <w:bottom w:w="15" w:type="dxa"/>
            <w:right w:w="15" w:type="dxa"/>
          </w:tblCellMar>
        </w:tblPrEx>
        <w:trPr>
          <w:trHeight w:val="108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31</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三棵树涂料股份有限公司通过两化深度融合树立健康涂料行业新标杆</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“互联网</w:t>
            </w:r>
            <w:r>
              <w:rPr>
                <w:rStyle w:val="6"/>
              </w:rPr>
              <w:t>+</w:t>
            </w:r>
            <w:r>
              <w:rPr>
                <w:rStyle w:val="7"/>
                <w:rFonts w:hint="default"/>
              </w:rPr>
              <w:t>”应用</w:t>
            </w:r>
          </w:p>
        </w:tc>
      </w:tr>
      <w:tr>
        <w:tblPrEx>
          <w:tblLayout w:type="fixed"/>
          <w:tblCellMar>
            <w:top w:w="15" w:type="dxa"/>
            <w:left w:w="15" w:type="dxa"/>
            <w:bottom w:w="15" w:type="dxa"/>
            <w:right w:w="15" w:type="dxa"/>
          </w:tblCellMar>
        </w:tblPrEx>
        <w:trPr>
          <w:trHeight w:val="108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32</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深圳市能源环保有限公司利用自主研发WIS系统实施生产标准化管理的实践经验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“互联网</w:t>
            </w:r>
            <w:r>
              <w:rPr>
                <w:rStyle w:val="6"/>
              </w:rPr>
              <w:t>+</w:t>
            </w:r>
            <w:r>
              <w:rPr>
                <w:rStyle w:val="7"/>
                <w:rFonts w:hint="default"/>
              </w:rPr>
              <w:t>”应用</w:t>
            </w:r>
          </w:p>
        </w:tc>
      </w:tr>
      <w:tr>
        <w:tblPrEx>
          <w:tblLayout w:type="fixed"/>
          <w:tblCellMar>
            <w:top w:w="15" w:type="dxa"/>
            <w:left w:w="15" w:type="dxa"/>
            <w:bottom w:w="15" w:type="dxa"/>
            <w:right w:w="15" w:type="dxa"/>
          </w:tblCellMar>
        </w:tblPrEx>
        <w:trPr>
          <w:trHeight w:val="1080" w:hRule="atLeast"/>
        </w:trPr>
        <w:tc>
          <w:tcPr>
            <w:tcW w:w="108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33</w:t>
            </w:r>
          </w:p>
        </w:tc>
        <w:tc>
          <w:tcPr>
            <w:tcW w:w="5265"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 w:val="28"/>
                <w:szCs w:val="28"/>
              </w:rPr>
            </w:pPr>
            <w:r>
              <w:rPr>
                <w:rFonts w:hint="eastAsia" w:ascii="宋体" w:hAnsi="宋体" w:cs="宋体"/>
                <w:color w:val="000000"/>
                <w:kern w:val="0"/>
                <w:sz w:val="28"/>
                <w:szCs w:val="28"/>
              </w:rPr>
              <w:t>新疆天业（集团）有限公司实施在线电子商务交易平台的经验</w:t>
            </w:r>
          </w:p>
        </w:tc>
        <w:tc>
          <w:tcPr>
            <w:tcW w:w="357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“互联网</w:t>
            </w:r>
            <w:r>
              <w:rPr>
                <w:rStyle w:val="6"/>
              </w:rPr>
              <w:t>+</w:t>
            </w:r>
            <w:r>
              <w:rPr>
                <w:rStyle w:val="7"/>
                <w:rFonts w:hint="default"/>
              </w:rPr>
              <w:t>”应用</w:t>
            </w:r>
          </w:p>
        </w:tc>
      </w:tr>
    </w:tbl>
    <w:p>
      <w:pPr>
        <w:jc w:val="center"/>
      </w:pPr>
    </w:p>
    <w:p>
      <w:pPr>
        <w:pStyle w:val="2"/>
        <w:spacing w:before="0" w:beforeAutospacing="0" w:after="0" w:afterAutospacing="0" w:line="560" w:lineRule="exact"/>
        <w:rPr>
          <w:rFonts w:ascii="仿宋_GB2312" w:hAnsi="黑体" w:eastAsia="仿宋_GB2312" w:cs="黑体"/>
          <w:sz w:val="32"/>
          <w:szCs w:val="32"/>
        </w:rPr>
      </w:pPr>
      <w:r>
        <w:rPr>
          <w:rFonts w:hint="eastAsia" w:ascii="仿宋_GB2312" w:hAnsi="黑体" w:eastAsia="仿宋_GB2312" w:cs="黑体"/>
          <w:sz w:val="32"/>
          <w:szCs w:val="32"/>
        </w:rPr>
        <w:t>（注:以上名单按拼音先后顺序）</w:t>
      </w:r>
    </w:p>
    <w:p>
      <w:pPr>
        <w:jc w:val="left"/>
        <w:rPr>
          <w:rFonts w:ascii="仿宋_GB2312" w:hAnsi="仿宋" w:eastAsia="仿宋_GB2312" w:cs="宋体-18030"/>
          <w:sz w:val="32"/>
          <w:szCs w:val="32"/>
        </w:rPr>
      </w:pPr>
    </w:p>
    <w:p/>
    <w:sectPr>
      <w:pgSz w:w="11906" w:h="16838"/>
      <w:pgMar w:top="1985" w:right="1531" w:bottom="215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宋体-18030">
    <w:altName w:val="SimSun-ExtB"/>
    <w:panose1 w:val="00000000000000000000"/>
    <w:charset w:val="86"/>
    <w:family w:val="modern"/>
    <w:pitch w:val="default"/>
    <w:sig w:usb0="00000000" w:usb1="00000000" w:usb2="000A005E" w:usb3="00000000" w:csb0="00040001" w:csb1="00000000"/>
  </w:font>
  <w:font w:name="Calibri Light">
    <w:panose1 w:val="020F0302020204030204"/>
    <w:charset w:val="00"/>
    <w:family w:val="swiss"/>
    <w:pitch w:val="default"/>
    <w:sig w:usb0="A00002EF" w:usb1="4000207B" w:usb2="00000000" w:usb3="00000000" w:csb0="2000019F"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7DB6"/>
    <w:rsid w:val="487E7D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Arial Unicode MS" w:hAnsi="Arial Unicode MS" w:eastAsia="Times New Roman"/>
      <w:kern w:val="0"/>
      <w:sz w:val="24"/>
      <w:szCs w:val="24"/>
    </w:rPr>
  </w:style>
  <w:style w:type="character" w:customStyle="1" w:styleId="5">
    <w:name w:val="font11"/>
    <w:basedOn w:val="3"/>
    <w:uiPriority w:val="0"/>
    <w:rPr>
      <w:rFonts w:hint="eastAsia" w:ascii="宋体" w:hAnsi="宋体" w:eastAsia="宋体" w:cs="宋体"/>
      <w:color w:val="000000"/>
      <w:sz w:val="28"/>
      <w:szCs w:val="28"/>
      <w:u w:val="none"/>
    </w:rPr>
  </w:style>
  <w:style w:type="character" w:customStyle="1" w:styleId="6">
    <w:name w:val="font01"/>
    <w:basedOn w:val="3"/>
    <w:qFormat/>
    <w:uiPriority w:val="0"/>
    <w:rPr>
      <w:rFonts w:ascii="Calibri" w:hAnsi="Calibri" w:cs="Calibri"/>
      <w:color w:val="000000"/>
      <w:sz w:val="28"/>
      <w:szCs w:val="28"/>
      <w:u w:val="none"/>
    </w:rPr>
  </w:style>
  <w:style w:type="character" w:customStyle="1" w:styleId="7">
    <w:name w:val="font21"/>
    <w:basedOn w:val="3"/>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2017-09-04T08:07:00Z</dcterms:created>
  <dc:creator>wufan</dc:creator>
  <cp:lastModifiedBy>wufan</cp:lastModifiedBy>
  <dcterms:modified xsi:type="dcterms:W3CDTF">2017-09-04T08:08:18Z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