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日程安排</w:t>
      </w:r>
    </w:p>
    <w:tbl>
      <w:tblPr>
        <w:tblStyle w:val="3"/>
        <w:tblW w:w="8591" w:type="dxa"/>
        <w:tblInd w:w="3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995"/>
        <w:gridCol w:w="4224"/>
        <w:gridCol w:w="1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b/>
                <w:bCs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111111"/>
                <w:sz w:val="24"/>
                <w:szCs w:val="24"/>
              </w:rPr>
              <w:t>时间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b/>
                <w:bCs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111111"/>
                <w:sz w:val="24"/>
                <w:szCs w:val="24"/>
              </w:rPr>
              <w:t>项目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b/>
                <w:bCs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111111"/>
                <w:sz w:val="24"/>
                <w:szCs w:val="24"/>
              </w:rPr>
              <w:t>具体安排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b/>
                <w:bCs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111111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b/>
                <w:bCs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Day1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各地——北京</w:t>
            </w:r>
          </w:p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报到；开营</w:t>
            </w:r>
          </w:p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1.指定地点集合签到，发放学习包；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2.开营仪式；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b/>
                <w:bCs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3.分组、团队破冰，热身游戏、纪律游戏、分组游戏等。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b/>
                <w:bCs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Day2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ind w:firstLine="480" w:firstLineChars="200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专家授课/</w:t>
            </w:r>
          </w:p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项目实施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1.集体授课；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2.分组学习，确定各组SQC主题；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3.实践活动。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Day3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专家授课/</w:t>
            </w:r>
          </w:p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项目实施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1.分组讨论；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2.现场教学；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3.修正方案。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Day4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项目实施与改进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1.专家对课题全面解析；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2.相互比拼，小组互评，纠错和优化。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3.专家对每小组辅导点评。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Day5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企业实践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1.某知名企业生产线浸入实践；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2.专家“QC和工匠精神”现场互动教学；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3.形成成果。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Day6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总结和成果展示</w:t>
            </w:r>
          </w:p>
        </w:tc>
        <w:tc>
          <w:tcPr>
            <w:tcW w:w="4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1.在指导员的带领下分组讨论和总结完成小组课题；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2.小组展示、队员分享；</w:t>
            </w:r>
          </w:p>
          <w:p>
            <w:pPr>
              <w:widowControl/>
              <w:autoSpaceDE w:val="0"/>
              <w:jc w:val="left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 xml:space="preserve">3.专家点评。 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仿宋_GB2312" w:hAnsi="仿宋" w:eastAsia="仿宋_GB2312"/>
                <w:color w:val="111111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111111"/>
                <w:sz w:val="24"/>
                <w:szCs w:val="24"/>
              </w:rPr>
              <w:t>中国质量大厦</w:t>
            </w:r>
          </w:p>
        </w:tc>
      </w:tr>
    </w:tbl>
    <w:p>
      <w:pPr>
        <w:widowControl/>
        <w:autoSpaceDE w:val="0"/>
        <w:jc w:val="center"/>
        <w:textAlignment w:val="center"/>
        <w:rPr>
          <w:rFonts w:ascii="仿宋_GB2312" w:hAnsi="仿宋" w:eastAsia="仿宋_GB2312"/>
          <w:color w:val="111111"/>
          <w:sz w:val="24"/>
          <w:szCs w:val="24"/>
        </w:rPr>
      </w:pPr>
      <w:r>
        <w:rPr>
          <w:rFonts w:hint="eastAsia" w:ascii="仿宋_GB2312" w:hAnsi="仿宋" w:eastAsia="仿宋_GB2312"/>
          <w:color w:val="111111"/>
          <w:sz w:val="24"/>
          <w:szCs w:val="24"/>
        </w:rPr>
        <w:t>（具体行程以实际安排为准；日程表报名后统一通知）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E3E01"/>
    <w:rsid w:val="132E3E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2018-12-21T06:46:00Z</dcterms:created>
  <dc:creator>吴璠</dc:creator>
  <cp:lastModifiedBy>吴璠</cp:lastModifiedBy>
  <dcterms:modified xsi:type="dcterms:W3CDTF">2018-12-21T06:46:21Z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