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left="-141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第七届全国品牌故事大赛分赛区</w:t>
      </w:r>
    </w:p>
    <w:p>
      <w:pPr>
        <w:overflowPunct w:val="0"/>
        <w:spacing w:line="640" w:lineRule="exact"/>
        <w:ind w:left="-141"/>
        <w:jc w:val="center"/>
        <w:rPr>
          <w:rFonts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承办规则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为了体现全国品牌故事大赛的权威性、公正性，确保大赛在全国范围内顺利进行，根据指导单位的要求，主办单位制定本规则：</w:t>
      </w:r>
    </w:p>
    <w:p>
      <w:pPr>
        <w:overflowPunct w:val="0"/>
        <w:spacing w:line="500" w:lineRule="exact"/>
        <w:ind w:firstLine="640" w:firstLineChars="200"/>
        <w:outlineLvl w:val="1"/>
        <w:rPr>
          <w:rFonts w:ascii="黑体" w:hAnsi="黑体" w:eastAsia="黑体" w:cs="黑体"/>
          <w:sz w:val="32"/>
          <w:szCs w:val="32"/>
        </w:rPr>
      </w:pPr>
      <w:bookmarkStart w:id="0" w:name="_Toc16408"/>
      <w:r>
        <w:rPr>
          <w:rFonts w:hint="eastAsia" w:ascii="黑体" w:hAnsi="黑体" w:eastAsia="黑体" w:cs="黑体"/>
          <w:sz w:val="32"/>
          <w:szCs w:val="32"/>
        </w:rPr>
        <w:t>一、赛区品牌形象要求</w:t>
      </w:r>
      <w:bookmarkEnd w:id="0"/>
    </w:p>
    <w:p>
      <w:pPr>
        <w:overflowPunct w:val="0"/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（一）比赛名称统一为“第七届全国品牌故事大赛XX分赛（区）”；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（二）分赛区背板、Logo要按照主办方提供的模板制作，不得擅自做更改；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（三）指导单位、主办单位按照主办方提供的单位名称宣传；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（四）依据《全国品牌故事大赛活动管理办法》相关规定，承办单位违反主办方形象要求的，三年之内，取消其申办资格。</w:t>
      </w:r>
    </w:p>
    <w:p>
      <w:pPr>
        <w:overflowPunct w:val="0"/>
        <w:spacing w:line="500" w:lineRule="exact"/>
        <w:ind w:firstLine="640" w:firstLineChars="200"/>
        <w:outlineLvl w:val="1"/>
        <w:rPr>
          <w:rFonts w:ascii="黑体" w:hAnsi="黑体" w:eastAsia="黑体" w:cs="黑体"/>
          <w:sz w:val="32"/>
          <w:szCs w:val="32"/>
        </w:rPr>
      </w:pPr>
      <w:bookmarkStart w:id="1" w:name="_Toc3641"/>
      <w:r>
        <w:rPr>
          <w:rFonts w:hint="eastAsia" w:ascii="黑体" w:hAnsi="黑体" w:eastAsia="黑体" w:cs="黑体"/>
          <w:sz w:val="32"/>
          <w:szCs w:val="32"/>
        </w:rPr>
        <w:t>二、组织规模的要求</w:t>
      </w:r>
      <w:bookmarkEnd w:id="1"/>
    </w:p>
    <w:p>
      <w:pPr>
        <w:overflowPunct w:val="0"/>
        <w:spacing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分赛区承办单位在各自赛区至少征集10家以上不同参赛企业方准许举办比赛；在同一个分赛区、同一种类型的比赛中，同一家企业的参赛作品不得超过2个。  </w:t>
      </w:r>
      <w:r>
        <w:rPr>
          <w:rFonts w:hint="eastAsia" w:cs="仿宋"/>
          <w:sz w:val="32"/>
          <w:szCs w:val="32"/>
        </w:rPr>
        <w:t xml:space="preserve">      </w:t>
      </w:r>
      <w:bookmarkStart w:id="2" w:name="_Toc29583"/>
    </w:p>
    <w:p>
      <w:pPr>
        <w:overflowPunct w:val="0"/>
        <w:spacing w:line="500" w:lineRule="exact"/>
        <w:ind w:firstLine="640" w:firstLineChars="200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三、评审要求</w:t>
      </w:r>
      <w:bookmarkEnd w:id="2"/>
    </w:p>
    <w:p>
      <w:pPr>
        <w:overflowPunct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（一）分赛区要本着公平、公开、公正的原则组织比赛，不得出现暗箱操作、内定选手名次等违规行为，演讲比赛每位选手演讲完要有现场亮分的环节；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（二）评审标准要按照主办方给定的标准实施，做到全国各分赛区的评价尺度一致；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（三）每个分赛区自行组织专家评委，评委人数为奇数，不得少于5人，其中一人来自大赛组委会推荐，评委可以来自政府、企业、高校等资深专家，还可适当吸纳媒体评审。</w:t>
      </w:r>
    </w:p>
    <w:p>
      <w:pPr>
        <w:pStyle w:val="4"/>
        <w:overflowPunct w:val="0"/>
        <w:spacing w:line="500" w:lineRule="exact"/>
        <w:ind w:firstLine="640"/>
        <w:outlineLvl w:val="1"/>
        <w:rPr>
          <w:rFonts w:ascii="黑体" w:hAnsi="黑体" w:eastAsia="黑体" w:cs="黑体"/>
          <w:sz w:val="32"/>
          <w:szCs w:val="32"/>
        </w:rPr>
      </w:pPr>
      <w:bookmarkStart w:id="3" w:name="_Toc21457"/>
      <w:r>
        <w:rPr>
          <w:rFonts w:hint="eastAsia" w:ascii="黑体" w:hAnsi="黑体" w:eastAsia="黑体" w:cs="黑体"/>
          <w:sz w:val="32"/>
          <w:szCs w:val="32"/>
        </w:rPr>
        <w:t>四、相关费用及商务活动</w:t>
      </w:r>
      <w:bookmarkEnd w:id="3"/>
    </w:p>
    <w:p>
      <w:pPr>
        <w:overflowPunct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（一）可适当向参赛企业收取注册费用，金额不超过1000元/作品；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（二）分赛区举办比赛所需费用由承办单位承担；</w:t>
      </w:r>
    </w:p>
    <w:p>
      <w:pPr>
        <w:overflowPunct w:val="0"/>
        <w:spacing w:line="500" w:lineRule="exact"/>
        <w:ind w:firstLine="640" w:firstLineChars="200"/>
        <w:rPr>
          <w:rFonts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（三）承办单位可招募协办单位，但是不允许区域冠名。</w:t>
      </w:r>
    </w:p>
    <w:p>
      <w:pPr>
        <w:overflowPunct w:val="0"/>
        <w:spacing w:line="500" w:lineRule="exact"/>
        <w:ind w:firstLine="640" w:firstLineChars="200"/>
        <w:outlineLvl w:val="1"/>
        <w:rPr>
          <w:rFonts w:ascii="黑体" w:hAnsi="黑体" w:eastAsia="黑体" w:cs="黑体"/>
          <w:sz w:val="32"/>
          <w:szCs w:val="32"/>
        </w:rPr>
      </w:pPr>
      <w:bookmarkStart w:id="4" w:name="_Toc17388"/>
      <w:r>
        <w:rPr>
          <w:rFonts w:hint="eastAsia" w:ascii="黑体" w:hAnsi="黑体" w:eastAsia="黑体" w:cs="黑体"/>
          <w:sz w:val="32"/>
          <w:szCs w:val="32"/>
        </w:rPr>
        <w:t>五、宣传要求</w:t>
      </w:r>
      <w:bookmarkEnd w:id="4"/>
    </w:p>
    <w:p>
      <w:pPr>
        <w:overflowPunct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分赛区承办单位负责动员当地媒体对比赛活动进行宣传，既要进行分赛区的宣传，还要兼顾品牌故事大赛在全国的整体宣传。宣传使用主办方统一的形象要求，包括Logo、组织机构名称等。</w:t>
      </w:r>
      <w:bookmarkStart w:id="5" w:name="_Toc15334"/>
    </w:p>
    <w:p>
      <w:pPr>
        <w:pStyle w:val="4"/>
        <w:overflowPunct w:val="0"/>
        <w:spacing w:line="500" w:lineRule="exact"/>
        <w:ind w:firstLine="640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六、奖项设置</w:t>
      </w:r>
      <w:bookmarkEnd w:id="5"/>
    </w:p>
    <w:p>
      <w:pPr>
        <w:overflowPunct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分赛区除了评出一、二、三等奖之外，承办单位可设立单项奖，名称不限。</w:t>
      </w:r>
    </w:p>
    <w:p>
      <w:pPr>
        <w:overflowPunct w:val="0"/>
        <w:spacing w:line="500" w:lineRule="exact"/>
        <w:ind w:firstLine="640" w:firstLineChars="200"/>
        <w:outlineLvl w:val="1"/>
        <w:rPr>
          <w:rFonts w:ascii="黑体" w:hAnsi="黑体" w:eastAsia="黑体" w:cs="黑体"/>
          <w:sz w:val="32"/>
          <w:szCs w:val="32"/>
        </w:rPr>
      </w:pPr>
      <w:bookmarkStart w:id="6" w:name="_Toc19017"/>
      <w:r>
        <w:rPr>
          <w:rFonts w:hint="eastAsia" w:ascii="黑体" w:hAnsi="黑体" w:eastAsia="黑体" w:cs="黑体"/>
          <w:sz w:val="32"/>
          <w:szCs w:val="32"/>
        </w:rPr>
        <w:t>七、时间要求</w:t>
      </w:r>
      <w:bookmarkEnd w:id="6"/>
    </w:p>
    <w:p>
      <w:pPr>
        <w:overflowPunct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各分赛区比赛需在主办方规定时限之前全部结束，以保证全国总决赛的顺利进行。</w:t>
      </w:r>
    </w:p>
    <w:p>
      <w:pPr>
        <w:overflowPunct w:val="0"/>
        <w:spacing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八、提交材料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分赛区承办单位需向主办单位提交比赛的资料和文件，具体包括：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（一）筹备比赛的公文原件；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（二）比赛现场照片、视频等资料；</w:t>
      </w:r>
    </w:p>
    <w:p>
      <w:r>
        <w:rPr>
          <w:rFonts w:hint="eastAsia" w:ascii="仿宋" w:hAnsi="仿宋" w:eastAsia="仿宋" w:cs="仿宋"/>
          <w:sz w:val="32"/>
          <w:szCs w:val="32"/>
        </w:rPr>
        <w:t>（三）赛事宣传新闻稿。</w:t>
      </w:r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9146B"/>
    <w:rsid w:val="35E9146B"/>
    <w:rsid w:val="58F07D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2019-01-28T05:21:00Z</dcterms:created>
  <dc:creator>吴璠</dc:creator>
  <cp:lastModifiedBy>吴璠</cp:lastModifiedBy>
  <dcterms:modified xsi:type="dcterms:W3CDTF">2019-01-28T05:21:31Z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