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《卓越绩效评价准则》国家标准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 </w:t>
      </w:r>
      <w:r>
        <w:rPr>
          <w:rFonts w:hint="eastAsia" w:ascii="宋体" w:hAnsi="宋体"/>
          <w:sz w:val="24"/>
        </w:rPr>
        <w:t>66079098， 68419670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传真：(010)66079132 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4"/>
        <w:szCs w:val="24"/>
        <w:lang w:eastAsia="zh-CN"/>
      </w:rPr>
    </w:pPr>
    <w:r>
      <w:rPr>
        <w:rStyle w:val="4"/>
        <w:rFonts w:hint="eastAsia" w:ascii="宋体" w:hAnsi="宋体"/>
        <w:sz w:val="24"/>
        <w:szCs w:val="24"/>
        <w:lang w:eastAsia="zh-CN"/>
      </w:rPr>
      <w:t xml:space="preserve">— </w:t>
    </w:r>
    <w:r>
      <w:rPr>
        <w:rStyle w:val="4"/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Style w:val="4"/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1</w:t>
    </w:r>
    <w:r>
      <w:rPr>
        <w:rStyle w:val="4"/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  <w:lang w:eastAsia="zh-CN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0635F"/>
    <w:rsid w:val="260063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2015-12-10T01:46:00Z</dcterms:created>
  <dc:creator>caq</dc:creator>
  <cp:lastModifiedBy>caq</cp:lastModifiedBy>
  <dcterms:modified xsi:type="dcterms:W3CDTF">2015-12-10T01:47:08Z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