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E2E" w:rsidRDefault="00970E2E" w:rsidP="00970E2E">
      <w:pPr>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中国质量协会六西格玛资深黑带（MBB）知识大纲</w:t>
      </w:r>
      <w:bookmarkEnd w:id="0"/>
    </w:p>
    <w:p w:rsidR="00970E2E" w:rsidRDefault="00970E2E" w:rsidP="00970E2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（试行）</w:t>
      </w:r>
    </w:p>
    <w:p w:rsidR="00970E2E" w:rsidRDefault="00970E2E" w:rsidP="00970E2E">
      <w:pPr>
        <w:jc w:val="center"/>
        <w:rPr>
          <w:rFonts w:ascii="Arial" w:eastAsia="黑体" w:hAnsi="Arial" w:cs="Arial"/>
          <w:sz w:val="32"/>
        </w:rPr>
      </w:pPr>
    </w:p>
    <w:p w:rsidR="00970E2E" w:rsidRDefault="00970E2E" w:rsidP="00970E2E">
      <w:pPr>
        <w:pStyle w:val="a5"/>
        <w:numPr>
          <w:ilvl w:val="0"/>
          <w:numId w:val="1"/>
        </w:numPr>
        <w:spacing w:line="400" w:lineRule="exact"/>
        <w:ind w:firstLineChars="0"/>
        <w:rPr>
          <w:rFonts w:ascii="黑体" w:eastAsia="黑体" w:hAnsi="黑体" w:cs="Arial"/>
          <w:kern w:val="0"/>
          <w:sz w:val="24"/>
          <w:szCs w:val="24"/>
        </w:rPr>
      </w:pPr>
      <w:r>
        <w:rPr>
          <w:rFonts w:ascii="黑体" w:eastAsia="黑体" w:hAnsi="黑体" w:cs="Arial"/>
          <w:kern w:val="0"/>
          <w:sz w:val="24"/>
          <w:szCs w:val="24"/>
        </w:rPr>
        <w:t>六西格玛管理</w:t>
      </w:r>
      <w:r>
        <w:rPr>
          <w:rFonts w:ascii="黑体" w:eastAsia="黑体" w:hAnsi="黑体" w:cs="Arial" w:hint="eastAsia"/>
          <w:kern w:val="0"/>
          <w:sz w:val="24"/>
          <w:szCs w:val="24"/>
        </w:rPr>
        <w:t>的组织与推进</w:t>
      </w:r>
    </w:p>
    <w:p w:rsidR="00970E2E" w:rsidRDefault="00970E2E" w:rsidP="00970E2E">
      <w:pPr>
        <w:pStyle w:val="a5"/>
        <w:numPr>
          <w:ilvl w:val="0"/>
          <w:numId w:val="2"/>
        </w:numPr>
        <w:spacing w:line="400" w:lineRule="exact"/>
        <w:ind w:firstLineChars="0"/>
        <w:rPr>
          <w:rFonts w:ascii="Arial" w:eastAsia="黑体" w:hAnsi="Arial" w:cs="Arial"/>
          <w:kern w:val="0"/>
          <w:sz w:val="24"/>
          <w:szCs w:val="24"/>
        </w:rPr>
      </w:pPr>
      <w:r>
        <w:rPr>
          <w:rFonts w:ascii="Arial" w:eastAsia="黑体" w:hAnsi="黑体" w:cs="Arial"/>
          <w:kern w:val="0"/>
          <w:sz w:val="24"/>
          <w:szCs w:val="24"/>
        </w:rPr>
        <w:t>六西格玛核心理念与管理要素</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1、六西格玛管理核心理念（理解）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理解六西格玛管理的核心理念。</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2、六西格玛管理要素（分析）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理解并掌握《六西格玛管理评价准则》（GB/T 36077-2018）提出的六西格玛管理要素与要求；</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3、六西格玛与其他管理模式（分析）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了解六西格玛管理与卓越绩效模式等其他管理模式的区别与联系，掌握将六西格玛管理与其他管理模式有效结合的方法。</w:t>
      </w:r>
    </w:p>
    <w:p w:rsidR="00970E2E" w:rsidRDefault="00970E2E" w:rsidP="00970E2E">
      <w:pPr>
        <w:pStyle w:val="a5"/>
        <w:numPr>
          <w:ilvl w:val="0"/>
          <w:numId w:val="2"/>
        </w:numPr>
        <w:spacing w:line="400" w:lineRule="exact"/>
        <w:ind w:firstLineChars="0"/>
        <w:rPr>
          <w:rFonts w:ascii="Arial" w:eastAsia="黑体" w:hAnsi="Arial" w:cs="Arial"/>
          <w:kern w:val="0"/>
          <w:sz w:val="24"/>
          <w:szCs w:val="24"/>
        </w:rPr>
      </w:pPr>
      <w:r>
        <w:rPr>
          <w:rFonts w:ascii="Arial" w:eastAsia="黑体" w:hAnsi="Arial" w:cs="Arial" w:hint="eastAsia"/>
          <w:kern w:val="0"/>
          <w:sz w:val="24"/>
          <w:szCs w:val="24"/>
        </w:rPr>
        <w:t>六西格玛</w:t>
      </w:r>
      <w:r>
        <w:rPr>
          <w:rFonts w:ascii="Arial" w:eastAsia="黑体" w:hAnsi="Arial" w:cs="Arial"/>
          <w:kern w:val="0"/>
          <w:sz w:val="24"/>
          <w:szCs w:val="24"/>
        </w:rPr>
        <w:t>领导力</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1、最高管理者的承诺（理解）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理解组织最高管理者的承诺对六西格玛推进的重要作用；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2、获得领导承诺（分析）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掌握将领导承诺传递到组织各个层级的方法；</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3、六西格玛管理组织架构（应用）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掌握六西格玛管理组织架构建立的方法和最佳实践；</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4、MBB 在组织中的角色和职责（理解）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理解资深黑带（MBB）在推进六西格玛管理中的角色、职责与作用。</w:t>
      </w:r>
    </w:p>
    <w:p w:rsidR="00970E2E" w:rsidRDefault="00970E2E" w:rsidP="00970E2E">
      <w:pPr>
        <w:pStyle w:val="a5"/>
        <w:numPr>
          <w:ilvl w:val="0"/>
          <w:numId w:val="2"/>
        </w:numPr>
        <w:spacing w:line="400" w:lineRule="exact"/>
        <w:ind w:firstLineChars="0"/>
        <w:rPr>
          <w:rFonts w:ascii="Arial" w:eastAsia="黑体" w:hAnsi="Arial" w:cs="Arial"/>
          <w:kern w:val="0"/>
          <w:sz w:val="24"/>
          <w:szCs w:val="24"/>
        </w:rPr>
      </w:pPr>
      <w:r>
        <w:rPr>
          <w:rFonts w:ascii="Arial" w:eastAsia="黑体" w:hAnsi="Arial" w:cs="Arial"/>
          <w:kern w:val="0"/>
          <w:sz w:val="24"/>
          <w:szCs w:val="24"/>
        </w:rPr>
        <w:t>六西格玛管理的规划和部署</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1、六西格玛管理的导入和推进（了解）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了解导入六西格玛管理的过程，掌握精益六西格玛推进各阶段的特征与主要工作内容；</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2、六西格玛管理部署与策划（应用）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掌握六西格玛管理部署与策划方法，包括：组织架构与关键资源的部署及开发、阶段目标设立、阶段工作的策划、实施过程监控、绩效测量与评估等。</w:t>
      </w:r>
    </w:p>
    <w:p w:rsidR="00970E2E" w:rsidRDefault="00970E2E" w:rsidP="00970E2E">
      <w:pPr>
        <w:pStyle w:val="a5"/>
        <w:numPr>
          <w:ilvl w:val="0"/>
          <w:numId w:val="2"/>
        </w:numPr>
        <w:spacing w:line="400" w:lineRule="exact"/>
        <w:ind w:firstLineChars="0"/>
        <w:rPr>
          <w:rFonts w:ascii="Arial" w:eastAsia="黑体" w:hAnsi="Arial" w:cs="Arial"/>
          <w:kern w:val="0"/>
          <w:sz w:val="24"/>
          <w:szCs w:val="24"/>
        </w:rPr>
      </w:pPr>
      <w:r>
        <w:rPr>
          <w:rFonts w:ascii="Arial" w:eastAsia="黑体" w:hAnsi="Arial" w:cs="Arial"/>
          <w:kern w:val="0"/>
          <w:sz w:val="24"/>
          <w:szCs w:val="24"/>
        </w:rPr>
        <w:t>文化变革</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1、六西格玛价值观与文化特征（理解）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理解六西格玛价值观与文化特征，及其对组织文化的影响；</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2、实施六西格玛的阻碍因素（理解）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掌握识别阻碍六西格玛管理实施的各种因素的方法；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3、变革管理（分析）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掌握消除文化变革壁垒与实施变革管理的方法。</w:t>
      </w:r>
    </w:p>
    <w:p w:rsidR="00970E2E" w:rsidRDefault="00970E2E" w:rsidP="00970E2E">
      <w:pPr>
        <w:pStyle w:val="a5"/>
        <w:numPr>
          <w:ilvl w:val="0"/>
          <w:numId w:val="1"/>
        </w:numPr>
        <w:spacing w:line="400" w:lineRule="exact"/>
        <w:ind w:firstLineChars="0"/>
        <w:rPr>
          <w:rFonts w:ascii="黑体" w:eastAsia="黑体" w:hAnsi="黑体" w:cs="Arial"/>
          <w:kern w:val="0"/>
          <w:sz w:val="24"/>
          <w:szCs w:val="24"/>
        </w:rPr>
      </w:pPr>
      <w:r>
        <w:rPr>
          <w:rFonts w:ascii="黑体" w:eastAsia="黑体" w:hAnsi="黑体" w:cs="Arial"/>
          <w:kern w:val="0"/>
          <w:sz w:val="24"/>
          <w:szCs w:val="24"/>
        </w:rPr>
        <w:t>战略与流程管理</w:t>
      </w:r>
    </w:p>
    <w:p w:rsidR="00970E2E" w:rsidRDefault="00970E2E" w:rsidP="00970E2E">
      <w:pPr>
        <w:pStyle w:val="a5"/>
        <w:numPr>
          <w:ilvl w:val="0"/>
          <w:numId w:val="3"/>
        </w:numPr>
        <w:spacing w:line="400" w:lineRule="exact"/>
        <w:ind w:firstLineChars="0"/>
        <w:rPr>
          <w:rFonts w:ascii="Arial" w:eastAsia="黑体" w:hAnsi="Arial" w:cs="Arial"/>
          <w:kern w:val="0"/>
          <w:sz w:val="24"/>
          <w:szCs w:val="24"/>
        </w:rPr>
      </w:pPr>
      <w:r>
        <w:rPr>
          <w:rFonts w:ascii="Arial" w:eastAsia="黑体" w:hAnsi="黑体" w:cs="Arial"/>
          <w:kern w:val="0"/>
          <w:sz w:val="24"/>
          <w:szCs w:val="24"/>
        </w:rPr>
        <w:t>战略</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1、战略制定（了解）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理解组织愿景、使命、价值观，掌握基于</w:t>
      </w:r>
      <w:proofErr w:type="gramStart"/>
      <w:r>
        <w:rPr>
          <w:rFonts w:asciiTheme="minorEastAsia" w:eastAsiaTheme="minorEastAsia" w:hAnsiTheme="minorEastAsia" w:cstheme="minorEastAsia" w:hint="eastAsia"/>
          <w:kern w:val="0"/>
          <w:sz w:val="24"/>
          <w:szCs w:val="24"/>
        </w:rPr>
        <w:t>组织愿景与</w:t>
      </w:r>
      <w:proofErr w:type="gramEnd"/>
      <w:r>
        <w:rPr>
          <w:rFonts w:asciiTheme="minorEastAsia" w:eastAsiaTheme="minorEastAsia" w:hAnsiTheme="minorEastAsia" w:cstheme="minorEastAsia" w:hint="eastAsia"/>
          <w:kern w:val="0"/>
          <w:sz w:val="24"/>
          <w:szCs w:val="24"/>
        </w:rPr>
        <w:t xml:space="preserve">使命的战略制定过程；理解分析评价组织的战略环境，预测环境变化对组织战略的影响以及识别潜在风险的方法（如：SWOT分析）；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2、战略目标与行动计划（理解）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了解战略目标及行动计划的制定过程与方法（如：平衡</w:t>
      </w:r>
      <w:proofErr w:type="gramStart"/>
      <w:r>
        <w:rPr>
          <w:rFonts w:asciiTheme="minorEastAsia" w:eastAsiaTheme="minorEastAsia" w:hAnsiTheme="minorEastAsia" w:cstheme="minorEastAsia" w:hint="eastAsia"/>
          <w:kern w:val="0"/>
          <w:sz w:val="24"/>
          <w:szCs w:val="24"/>
        </w:rPr>
        <w:t>计分卡</w:t>
      </w:r>
      <w:proofErr w:type="gramEnd"/>
      <w:r>
        <w:rPr>
          <w:rFonts w:asciiTheme="minorEastAsia" w:eastAsiaTheme="minorEastAsia" w:hAnsiTheme="minorEastAsia" w:cstheme="minorEastAsia" w:hint="eastAsia"/>
          <w:kern w:val="0"/>
          <w:sz w:val="24"/>
          <w:szCs w:val="24"/>
        </w:rPr>
        <w:t xml:space="preserve">Balanced Scorecard 等）。 </w:t>
      </w:r>
    </w:p>
    <w:p w:rsidR="00970E2E" w:rsidRDefault="00970E2E" w:rsidP="00970E2E">
      <w:pPr>
        <w:pStyle w:val="a5"/>
        <w:numPr>
          <w:ilvl w:val="0"/>
          <w:numId w:val="3"/>
        </w:numPr>
        <w:spacing w:line="400" w:lineRule="exact"/>
        <w:ind w:firstLineChars="0"/>
        <w:rPr>
          <w:rFonts w:ascii="Arial" w:eastAsia="黑体" w:hAnsi="黑体" w:cs="Arial"/>
          <w:kern w:val="0"/>
          <w:sz w:val="24"/>
          <w:szCs w:val="24"/>
        </w:rPr>
      </w:pPr>
      <w:r>
        <w:rPr>
          <w:rFonts w:ascii="Arial" w:eastAsia="黑体" w:hAnsi="黑体" w:cs="Arial"/>
          <w:kern w:val="0"/>
          <w:sz w:val="24"/>
          <w:szCs w:val="24"/>
        </w:rPr>
        <w:t>业务流程与管理</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1、质量管理体系的相关知识（理解）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2、业务流程管理（理解）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掌握业务流程管理的基本知识，了解典型的业务流程及其构成；理解业务流程绩效的前置性测量指标与结果性测量指标及意义，并掌握流程绩效的典型测量指标；</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3、价值链与价值流（理解）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理解价值链与价值流的概念及其在组织流程管理中的重要意义；理解价值、价值流、流动与拉动的含义。</w:t>
      </w:r>
    </w:p>
    <w:p w:rsidR="00970E2E" w:rsidRDefault="00970E2E" w:rsidP="00970E2E">
      <w:pPr>
        <w:pStyle w:val="a5"/>
        <w:numPr>
          <w:ilvl w:val="0"/>
          <w:numId w:val="1"/>
        </w:numPr>
        <w:spacing w:line="400" w:lineRule="exact"/>
        <w:ind w:firstLineChars="0"/>
        <w:rPr>
          <w:rFonts w:ascii="黑体" w:eastAsia="黑体" w:hAnsi="黑体" w:cs="Arial"/>
          <w:kern w:val="0"/>
          <w:sz w:val="24"/>
          <w:szCs w:val="24"/>
        </w:rPr>
      </w:pPr>
      <w:r>
        <w:rPr>
          <w:rFonts w:ascii="黑体" w:eastAsia="黑体" w:hAnsi="黑体" w:cs="Arial"/>
          <w:kern w:val="0"/>
          <w:sz w:val="24"/>
          <w:szCs w:val="24"/>
        </w:rPr>
        <w:t>六西格玛项目管理</w:t>
      </w:r>
    </w:p>
    <w:p w:rsidR="00970E2E" w:rsidRDefault="00970E2E" w:rsidP="00970E2E">
      <w:pPr>
        <w:pStyle w:val="a5"/>
        <w:numPr>
          <w:ilvl w:val="0"/>
          <w:numId w:val="4"/>
        </w:numPr>
        <w:spacing w:line="400" w:lineRule="exact"/>
        <w:ind w:firstLineChars="0"/>
        <w:rPr>
          <w:rFonts w:ascii="Arial" w:eastAsia="黑体" w:hAnsi="Arial" w:cs="Arial"/>
          <w:kern w:val="0"/>
          <w:sz w:val="24"/>
          <w:szCs w:val="24"/>
        </w:rPr>
      </w:pPr>
      <w:r>
        <w:rPr>
          <w:rFonts w:ascii="Arial" w:eastAsia="黑体" w:hAnsi="黑体" w:cs="Arial"/>
          <w:kern w:val="0"/>
          <w:sz w:val="24"/>
          <w:szCs w:val="24"/>
        </w:rPr>
        <w:t>项目的识别与选择</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1、项目机会识别（应用）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掌握六西格玛项目梳理立项过程，包括从组织目标和顾客需求的梳理展开过程、基于价值流分析（VSM）的梳理展开过程等；掌握定义项目要素使用的各种工具方法；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proofErr w:type="gramStart"/>
      <w:r>
        <w:rPr>
          <w:rFonts w:asciiTheme="minorEastAsia" w:eastAsiaTheme="minorEastAsia" w:hAnsiTheme="minorEastAsia" w:cstheme="minorEastAsia" w:hint="eastAsia"/>
          <w:kern w:val="0"/>
          <w:sz w:val="24"/>
          <w:szCs w:val="24"/>
        </w:rPr>
        <w:t>跨职能</w:t>
      </w:r>
      <w:proofErr w:type="gramEnd"/>
      <w:r>
        <w:rPr>
          <w:rFonts w:asciiTheme="minorEastAsia" w:eastAsiaTheme="minorEastAsia" w:hAnsiTheme="minorEastAsia" w:cstheme="minorEastAsia" w:hint="eastAsia"/>
          <w:kern w:val="0"/>
          <w:sz w:val="24"/>
          <w:szCs w:val="24"/>
        </w:rPr>
        <w:t>项目评估（分析）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掌握根据组织不同层级的关键绩效指标（KPI）或管理目标，在组织各层级设立六西格玛项目的方法；掌握依据项目重要性排列的优先级对</w:t>
      </w:r>
      <w:proofErr w:type="gramStart"/>
      <w:r>
        <w:rPr>
          <w:rFonts w:asciiTheme="minorEastAsia" w:eastAsiaTheme="minorEastAsia" w:hAnsiTheme="minorEastAsia" w:cstheme="minorEastAsia" w:hint="eastAsia"/>
          <w:kern w:val="0"/>
          <w:sz w:val="24"/>
          <w:szCs w:val="24"/>
        </w:rPr>
        <w:t>跨职能</w:t>
      </w:r>
      <w:proofErr w:type="gramEnd"/>
      <w:r>
        <w:rPr>
          <w:rFonts w:asciiTheme="minorEastAsia" w:eastAsiaTheme="minorEastAsia" w:hAnsiTheme="minorEastAsia" w:cstheme="minorEastAsia" w:hint="eastAsia"/>
          <w:kern w:val="0"/>
          <w:sz w:val="24"/>
          <w:szCs w:val="24"/>
        </w:rPr>
        <w:t xml:space="preserve">项目进行评估的方法；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3、项目选择与管理工具（应用）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掌握亲和图、关联图、树图、过程决策程序图（PDPC）法、矩阵图、优先矩阵和活动网络图（CPM 和PERT）等项目管理工具在项目选择与实施中的应用。</w:t>
      </w:r>
    </w:p>
    <w:p w:rsidR="00970E2E" w:rsidRDefault="00970E2E" w:rsidP="00970E2E">
      <w:pPr>
        <w:pStyle w:val="a5"/>
        <w:numPr>
          <w:ilvl w:val="0"/>
          <w:numId w:val="4"/>
        </w:numPr>
        <w:spacing w:line="400" w:lineRule="exact"/>
        <w:ind w:firstLineChars="0"/>
        <w:rPr>
          <w:rFonts w:ascii="Arial" w:eastAsia="黑体" w:hAnsi="Arial" w:cs="Arial"/>
          <w:kern w:val="0"/>
          <w:sz w:val="24"/>
          <w:szCs w:val="24"/>
        </w:rPr>
      </w:pPr>
      <w:r>
        <w:rPr>
          <w:rFonts w:ascii="Arial" w:eastAsia="黑体" w:hAnsi="Arial" w:cs="Arial"/>
          <w:kern w:val="0"/>
          <w:sz w:val="24"/>
          <w:szCs w:val="24"/>
        </w:rPr>
        <w:t>项目实施与监控</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1、项目管理原则（应用）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掌握项目管理的基本原则，包括：根据项目的范围、目标、时间、成本、质量、人力资源需求和风险等进行评估，确定并管理项目的实施；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2、项目评估（应用）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掌握记录项目进展、持续状态及对组织产生的影响等项目评估方法；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3、项目监控（应用）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理解项目监控和评审的重要性；</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熟悉在项目实施关键节点对项目进行评估与控制的方法，确保项目实施与预定目标一致；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掌握项目风险分析的方法与工具，识别项目实施潜在风险，制定规避措施；</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4、项目状态沟通（应用）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掌握项目沟通方法，以保证重要利益相关方了解项目的状态、结果和相关责任；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5、项目风险管理（评估）</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6、项目成果评价（应用）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熟悉并掌握项目成果的典型评价方法。</w:t>
      </w:r>
    </w:p>
    <w:p w:rsidR="00970E2E" w:rsidRDefault="00970E2E" w:rsidP="00970E2E">
      <w:pPr>
        <w:pStyle w:val="a5"/>
        <w:numPr>
          <w:ilvl w:val="0"/>
          <w:numId w:val="4"/>
        </w:numPr>
        <w:spacing w:line="400" w:lineRule="exact"/>
        <w:ind w:firstLineChars="0"/>
        <w:rPr>
          <w:rFonts w:ascii="Arial" w:eastAsia="黑体" w:hAnsi="Arial" w:cs="Arial"/>
          <w:kern w:val="0"/>
          <w:sz w:val="24"/>
          <w:szCs w:val="24"/>
        </w:rPr>
      </w:pPr>
      <w:r>
        <w:rPr>
          <w:rFonts w:ascii="Arial" w:eastAsia="黑体" w:hAnsi="Arial" w:cs="Arial"/>
          <w:kern w:val="0"/>
          <w:sz w:val="24"/>
          <w:szCs w:val="24"/>
        </w:rPr>
        <w:t>财务收益</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1、财务绩效度量指标（分析）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熟悉组织财务绩效相关指标，包括收入增长、市场份额、利润率、净现值（NPV）、投资回报率（ROI）、质量成本（COQ）、成本收益分析、基于活动的成本分析、盈亏平衡时间绩效等；</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2、预算及预测（分析）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熟悉评估项目预期收益的方法，包括</w:t>
      </w:r>
      <w:proofErr w:type="gramStart"/>
      <w:r>
        <w:rPr>
          <w:rFonts w:asciiTheme="minorEastAsia" w:eastAsiaTheme="minorEastAsia" w:hAnsiTheme="minorEastAsia" w:cstheme="minorEastAsia" w:hint="eastAsia"/>
          <w:kern w:val="0"/>
          <w:sz w:val="24"/>
          <w:szCs w:val="24"/>
        </w:rPr>
        <w:t>硬收益</w:t>
      </w:r>
      <w:proofErr w:type="gramEnd"/>
      <w:r>
        <w:rPr>
          <w:rFonts w:asciiTheme="minorEastAsia" w:eastAsiaTheme="minorEastAsia" w:hAnsiTheme="minorEastAsia" w:cstheme="minorEastAsia" w:hint="eastAsia"/>
          <w:kern w:val="0"/>
          <w:sz w:val="24"/>
          <w:szCs w:val="24"/>
        </w:rPr>
        <w:t>和软收益的概念与评估方法，劣质质量成本分析工具与方法、基于活动的成本计算和其他方法等，并根据评估结果对项目优先权进行排序；</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3、项目收益（分析）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熟悉项目收益的统计计算方法，包括理解并使用基本财务模型（如NPV、ROI）等。</w:t>
      </w:r>
    </w:p>
    <w:p w:rsidR="00970E2E" w:rsidRDefault="00970E2E" w:rsidP="00970E2E">
      <w:pPr>
        <w:pStyle w:val="a5"/>
        <w:numPr>
          <w:ilvl w:val="0"/>
          <w:numId w:val="4"/>
        </w:numPr>
        <w:spacing w:line="400" w:lineRule="exact"/>
        <w:ind w:firstLineChars="0"/>
        <w:rPr>
          <w:rFonts w:ascii="Arial" w:eastAsia="黑体" w:hAnsi="Arial" w:cs="Arial"/>
          <w:kern w:val="0"/>
          <w:sz w:val="24"/>
          <w:szCs w:val="24"/>
        </w:rPr>
      </w:pPr>
      <w:r>
        <w:rPr>
          <w:rFonts w:ascii="Arial" w:eastAsia="黑体" w:hAnsi="Arial" w:cs="Arial"/>
          <w:kern w:val="0"/>
          <w:sz w:val="24"/>
          <w:szCs w:val="24"/>
        </w:rPr>
        <w:lastRenderedPageBreak/>
        <w:t>项目推广与知识管理（理解）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理解分享项目成功经验的重要性，熟悉项目推广以及建立精益六西格玛项目知识库的方法。</w:t>
      </w:r>
    </w:p>
    <w:p w:rsidR="00970E2E" w:rsidRDefault="00970E2E" w:rsidP="00970E2E">
      <w:pPr>
        <w:pStyle w:val="a5"/>
        <w:numPr>
          <w:ilvl w:val="0"/>
          <w:numId w:val="1"/>
        </w:numPr>
        <w:spacing w:line="400" w:lineRule="exact"/>
        <w:ind w:firstLineChars="0"/>
        <w:rPr>
          <w:rFonts w:ascii="黑体" w:eastAsia="黑体" w:hAnsi="黑体" w:cs="Arial"/>
          <w:kern w:val="0"/>
          <w:sz w:val="24"/>
          <w:szCs w:val="24"/>
        </w:rPr>
      </w:pPr>
      <w:r>
        <w:rPr>
          <w:rFonts w:ascii="黑体" w:eastAsia="黑体" w:hAnsi="黑体" w:cs="Arial"/>
          <w:kern w:val="0"/>
          <w:sz w:val="24"/>
          <w:szCs w:val="24"/>
        </w:rPr>
        <w:t>六西格玛方法论</w:t>
      </w:r>
      <w:r>
        <w:rPr>
          <w:rFonts w:ascii="黑体" w:eastAsia="黑体" w:hAnsi="黑体" w:cs="Arial" w:hint="eastAsia"/>
          <w:kern w:val="0"/>
          <w:sz w:val="24"/>
          <w:szCs w:val="24"/>
        </w:rPr>
        <w:t>与相关方法</w:t>
      </w:r>
    </w:p>
    <w:p w:rsidR="00970E2E" w:rsidRDefault="00970E2E" w:rsidP="00970E2E">
      <w:pPr>
        <w:pStyle w:val="a5"/>
        <w:numPr>
          <w:ilvl w:val="0"/>
          <w:numId w:val="5"/>
        </w:numPr>
        <w:spacing w:line="400" w:lineRule="exact"/>
        <w:ind w:firstLineChars="0"/>
        <w:rPr>
          <w:rFonts w:ascii="Arial" w:eastAsia="黑体" w:hAnsi="Arial" w:cs="Arial"/>
          <w:kern w:val="0"/>
          <w:sz w:val="24"/>
          <w:szCs w:val="24"/>
        </w:rPr>
      </w:pPr>
      <w:r>
        <w:rPr>
          <w:rFonts w:ascii="Arial" w:eastAsia="黑体" w:hAnsi="黑体" w:cs="Arial"/>
          <w:kern w:val="0"/>
          <w:sz w:val="24"/>
          <w:szCs w:val="24"/>
        </w:rPr>
        <w:t>流程改善方法（</w:t>
      </w:r>
      <w:r>
        <w:rPr>
          <w:rFonts w:ascii="Arial" w:eastAsia="黑体" w:hAnsi="Arial" w:cs="Arial"/>
          <w:kern w:val="0"/>
          <w:sz w:val="24"/>
          <w:szCs w:val="24"/>
        </w:rPr>
        <w:t>DMAIC</w:t>
      </w:r>
      <w:r>
        <w:rPr>
          <w:rFonts w:ascii="Arial" w:eastAsia="黑体" w:hAnsi="黑体" w:cs="Arial"/>
          <w:kern w:val="0"/>
          <w:sz w:val="24"/>
          <w:szCs w:val="24"/>
        </w:rPr>
        <w:t>）</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1、技术路径（应用）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熟悉DMAIC技术路径,掌握各阶段的目的、任务和主要应用工具等；</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2、典型应用（应用）</w:t>
      </w:r>
    </w:p>
    <w:p w:rsidR="00970E2E" w:rsidRDefault="00970E2E" w:rsidP="00970E2E">
      <w:pPr>
        <w:spacing w:line="400" w:lineRule="exact"/>
        <w:ind w:firstLineChars="200" w:firstLine="480"/>
        <w:rPr>
          <w:rFonts w:ascii="Arial" w:hAnsi="Times New Roman" w:cs="Arial"/>
          <w:kern w:val="0"/>
          <w:sz w:val="24"/>
          <w:szCs w:val="24"/>
        </w:rPr>
      </w:pPr>
      <w:r>
        <w:rPr>
          <w:rFonts w:asciiTheme="minorEastAsia" w:eastAsiaTheme="minorEastAsia" w:hAnsiTheme="minorEastAsia" w:cstheme="minorEastAsia" w:hint="eastAsia"/>
          <w:kern w:val="0"/>
          <w:sz w:val="24"/>
          <w:szCs w:val="24"/>
        </w:rPr>
        <w:t xml:space="preserve">熟悉DMAIC在组织主要业务流程中的典型应用，包括制造类流程和非制造类流程（如：管理类流程和服务类流程等）。 </w:t>
      </w:r>
    </w:p>
    <w:p w:rsidR="00970E2E" w:rsidRDefault="00970E2E" w:rsidP="00970E2E">
      <w:pPr>
        <w:pStyle w:val="a5"/>
        <w:numPr>
          <w:ilvl w:val="0"/>
          <w:numId w:val="5"/>
        </w:numPr>
        <w:spacing w:line="400" w:lineRule="exact"/>
        <w:ind w:firstLineChars="0"/>
        <w:rPr>
          <w:rFonts w:ascii="Arial" w:eastAsia="黑体" w:hAnsi="Arial" w:cs="Arial"/>
          <w:kern w:val="0"/>
          <w:sz w:val="24"/>
          <w:szCs w:val="24"/>
        </w:rPr>
      </w:pPr>
      <w:r>
        <w:rPr>
          <w:rFonts w:ascii="Arial" w:eastAsia="黑体" w:hAnsi="Arial" w:cs="Arial"/>
          <w:kern w:val="0"/>
          <w:sz w:val="24"/>
          <w:szCs w:val="24"/>
        </w:rPr>
        <w:t>六西格玛设计（</w:t>
      </w:r>
      <w:r>
        <w:rPr>
          <w:rFonts w:ascii="Arial" w:eastAsia="黑体" w:hAnsi="Arial" w:cs="Arial"/>
          <w:kern w:val="0"/>
          <w:sz w:val="24"/>
          <w:szCs w:val="24"/>
        </w:rPr>
        <w:t>DFSS</w:t>
      </w:r>
      <w:r>
        <w:rPr>
          <w:rFonts w:ascii="Arial" w:eastAsia="黑体" w:hAnsi="Arial" w:cs="Arial"/>
          <w:kern w:val="0"/>
          <w:sz w:val="24"/>
          <w:szCs w:val="24"/>
        </w:rPr>
        <w:t>）</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1、技术路径（应用）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掌握典型的DFSS技术路径，包括但不限于DMADV、IDDOV、ICOV等，熟悉不同技术路径各阶段的目的、任务和主要应用工具方法等；</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2、典型应用（应用）</w:t>
      </w:r>
    </w:p>
    <w:p w:rsidR="00970E2E" w:rsidRDefault="00970E2E" w:rsidP="00970E2E">
      <w:pPr>
        <w:spacing w:line="400" w:lineRule="exact"/>
        <w:ind w:firstLineChars="200" w:firstLine="480"/>
        <w:rPr>
          <w:rFonts w:ascii="Arial" w:hAnsi="Times New Roman" w:cs="Arial"/>
          <w:kern w:val="0"/>
          <w:sz w:val="24"/>
          <w:szCs w:val="24"/>
        </w:rPr>
      </w:pPr>
      <w:r>
        <w:rPr>
          <w:rFonts w:asciiTheme="minorEastAsia" w:eastAsiaTheme="minorEastAsia" w:hAnsiTheme="minorEastAsia" w:cstheme="minorEastAsia" w:hint="eastAsia"/>
          <w:kern w:val="0"/>
          <w:sz w:val="24"/>
          <w:szCs w:val="24"/>
        </w:rPr>
        <w:t>熟悉DFSS技术路径在新产品设计、重新设计及流程设计中的典型应用。</w:t>
      </w:r>
    </w:p>
    <w:p w:rsidR="00970E2E" w:rsidRDefault="00970E2E" w:rsidP="00970E2E">
      <w:pPr>
        <w:pStyle w:val="a5"/>
        <w:numPr>
          <w:ilvl w:val="0"/>
          <w:numId w:val="5"/>
        </w:numPr>
        <w:spacing w:line="400" w:lineRule="exact"/>
        <w:ind w:firstLineChars="0"/>
        <w:rPr>
          <w:rFonts w:ascii="Arial" w:eastAsia="黑体" w:hAnsi="Arial" w:cs="Arial"/>
          <w:kern w:val="0"/>
          <w:sz w:val="24"/>
          <w:szCs w:val="24"/>
        </w:rPr>
      </w:pPr>
      <w:r>
        <w:rPr>
          <w:rFonts w:ascii="Arial" w:eastAsia="黑体" w:hAnsi="Arial" w:cs="Arial"/>
          <w:kern w:val="0"/>
          <w:sz w:val="24"/>
          <w:szCs w:val="24"/>
        </w:rPr>
        <w:t>质量功能展开（</w:t>
      </w:r>
      <w:r>
        <w:rPr>
          <w:rFonts w:ascii="Arial" w:eastAsia="黑体" w:hAnsi="Arial" w:cs="Arial"/>
          <w:kern w:val="0"/>
          <w:sz w:val="24"/>
          <w:szCs w:val="24"/>
        </w:rPr>
        <w:t>QFD</w:t>
      </w:r>
      <w:r>
        <w:rPr>
          <w:rFonts w:ascii="Arial" w:eastAsia="黑体" w:hAnsi="Arial" w:cs="Arial"/>
          <w:kern w:val="0"/>
          <w:sz w:val="24"/>
          <w:szCs w:val="24"/>
        </w:rPr>
        <w:t>）、</w:t>
      </w:r>
      <w:r>
        <w:rPr>
          <w:rFonts w:ascii="Arial" w:eastAsia="黑体" w:hAnsi="Arial" w:cs="Arial"/>
          <w:kern w:val="0"/>
          <w:sz w:val="24"/>
          <w:szCs w:val="24"/>
        </w:rPr>
        <w:t>TRIZ</w:t>
      </w:r>
      <w:r>
        <w:rPr>
          <w:rFonts w:ascii="Arial" w:eastAsia="黑体" w:hAnsi="Arial" w:cs="Arial"/>
          <w:kern w:val="0"/>
          <w:sz w:val="24"/>
          <w:szCs w:val="24"/>
        </w:rPr>
        <w:t>与可靠性设计</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1、质量功能展开（QFD）（应用）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掌握质量功能展开（QFD）方法，熟悉QFD在六西格玛方法论中的典型应用；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2、发明问题解决理论（TRIZ）（了解）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了解TRIZ基本原理及其解决问题的方法，熟悉TRIZ在六西格玛方法论中的典型应用；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3、可靠性设计（了解）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了解可靠性设计的基本原理与面向X的设计方法（统称为“DFX”），如DFMA、DFE等，熟悉DFX在六西格玛设计中的典型应用。</w:t>
      </w:r>
    </w:p>
    <w:p w:rsidR="00970E2E" w:rsidRDefault="00970E2E" w:rsidP="00970E2E">
      <w:pPr>
        <w:pStyle w:val="a5"/>
        <w:numPr>
          <w:ilvl w:val="0"/>
          <w:numId w:val="5"/>
        </w:numPr>
        <w:spacing w:line="400" w:lineRule="exact"/>
        <w:ind w:firstLineChars="0"/>
        <w:rPr>
          <w:rFonts w:ascii="Arial" w:eastAsia="黑体" w:hAnsi="Arial" w:cs="Arial"/>
          <w:kern w:val="0"/>
          <w:sz w:val="24"/>
          <w:szCs w:val="24"/>
        </w:rPr>
      </w:pPr>
      <w:r>
        <w:rPr>
          <w:rFonts w:ascii="Arial" w:eastAsia="黑体" w:hAnsi="Arial" w:cs="Arial"/>
          <w:kern w:val="0"/>
          <w:sz w:val="24"/>
          <w:szCs w:val="24"/>
        </w:rPr>
        <w:t>精益管理（</w:t>
      </w:r>
      <w:r>
        <w:rPr>
          <w:rFonts w:ascii="Arial" w:eastAsia="黑体" w:hAnsi="Arial" w:cs="Arial"/>
          <w:kern w:val="0"/>
          <w:sz w:val="24"/>
          <w:szCs w:val="24"/>
        </w:rPr>
        <w:t>Lean</w:t>
      </w:r>
      <w:r>
        <w:rPr>
          <w:rFonts w:ascii="Arial" w:eastAsia="黑体" w:hAnsi="Arial" w:cs="Arial"/>
          <w:kern w:val="0"/>
          <w:sz w:val="24"/>
          <w:szCs w:val="24"/>
        </w:rPr>
        <w:t>）与约束理论（</w:t>
      </w:r>
      <w:r>
        <w:rPr>
          <w:rFonts w:ascii="Arial" w:eastAsia="黑体" w:hAnsi="Arial" w:cs="Arial"/>
          <w:kern w:val="0"/>
          <w:sz w:val="24"/>
          <w:szCs w:val="24"/>
        </w:rPr>
        <w:t>TOC</w:t>
      </w:r>
      <w:r>
        <w:rPr>
          <w:rFonts w:ascii="Arial" w:eastAsia="黑体" w:hAnsi="Arial" w:cs="Arial"/>
          <w:kern w:val="0"/>
          <w:sz w:val="24"/>
          <w:szCs w:val="24"/>
        </w:rPr>
        <w:t>）</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1、精益管理（理解）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理解精益管理工具方法的构成和实施结构、熟悉常用的精益工具方法，包括：5S、目视化、标准作业、全面生产维护（TPM）、连续流生产、快速换型（SMED）、布局改善、源头质量控制等；</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2、约束理论（TOC）（了解）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了解约束理论（TOC）的基本原理以及在问题解决过程中与其他方法论或工具的结合应用。</w:t>
      </w:r>
    </w:p>
    <w:p w:rsidR="00970E2E" w:rsidRDefault="00970E2E" w:rsidP="00970E2E">
      <w:pPr>
        <w:pStyle w:val="a5"/>
        <w:numPr>
          <w:ilvl w:val="0"/>
          <w:numId w:val="1"/>
        </w:numPr>
        <w:spacing w:line="400" w:lineRule="exact"/>
        <w:ind w:firstLineChars="0"/>
        <w:rPr>
          <w:sz w:val="24"/>
          <w:szCs w:val="24"/>
        </w:rPr>
      </w:pPr>
      <w:r>
        <w:rPr>
          <w:rFonts w:ascii="黑体" w:eastAsia="黑体" w:hAnsi="黑体" w:cs="Arial"/>
          <w:kern w:val="0"/>
          <w:sz w:val="24"/>
          <w:szCs w:val="24"/>
        </w:rPr>
        <w:t>能力、培训与辅导</w:t>
      </w:r>
    </w:p>
    <w:p w:rsidR="00970E2E" w:rsidRDefault="00970E2E" w:rsidP="00970E2E">
      <w:pPr>
        <w:pStyle w:val="a5"/>
        <w:numPr>
          <w:ilvl w:val="0"/>
          <w:numId w:val="6"/>
        </w:numPr>
        <w:spacing w:line="400" w:lineRule="exact"/>
        <w:ind w:firstLineChars="0"/>
        <w:rPr>
          <w:rFonts w:ascii="Arial" w:eastAsia="黑体" w:hAnsi="Arial" w:cs="Arial"/>
          <w:kern w:val="0"/>
          <w:sz w:val="24"/>
          <w:szCs w:val="24"/>
        </w:rPr>
      </w:pPr>
      <w:r>
        <w:rPr>
          <w:rFonts w:ascii="Arial" w:eastAsia="黑体" w:hAnsi="黑体" w:cs="Arial"/>
          <w:kern w:val="0"/>
          <w:sz w:val="24"/>
          <w:szCs w:val="24"/>
        </w:rPr>
        <w:t>应对内部挑战</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1、组织动力学（应用）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理解运用人类和组织动力学方面的知识提高项目成功率并将文化目标与组织目标相匹配的方法；</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2、干预风格（应用）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理解干预、沟通和影响风格等概念，以及将这些概念应用于特定场景的方法（即情境领导力）；</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3、解决冲突（应用）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掌握处理并解决导致项目执行不力的冲突与潜在问题的方法。</w:t>
      </w:r>
    </w:p>
    <w:p w:rsidR="00970E2E" w:rsidRDefault="00970E2E" w:rsidP="00970E2E">
      <w:pPr>
        <w:pStyle w:val="a5"/>
        <w:numPr>
          <w:ilvl w:val="0"/>
          <w:numId w:val="6"/>
        </w:numPr>
        <w:spacing w:line="400" w:lineRule="exact"/>
        <w:ind w:firstLineChars="0"/>
        <w:rPr>
          <w:rFonts w:ascii="Arial" w:eastAsia="黑体" w:hAnsi="黑体" w:cs="Arial"/>
          <w:kern w:val="0"/>
          <w:sz w:val="24"/>
          <w:szCs w:val="24"/>
        </w:rPr>
      </w:pPr>
      <w:r>
        <w:rPr>
          <w:rFonts w:ascii="Arial" w:eastAsia="黑体" w:hAnsi="黑体" w:cs="Arial"/>
          <w:kern w:val="0"/>
          <w:sz w:val="24"/>
          <w:szCs w:val="24"/>
        </w:rPr>
        <w:t>执行者</w:t>
      </w:r>
      <w:r>
        <w:rPr>
          <w:rFonts w:ascii="Arial" w:eastAsia="黑体" w:hAnsi="黑体" w:cs="Arial" w:hint="eastAsia"/>
          <w:kern w:val="0"/>
          <w:sz w:val="24"/>
          <w:szCs w:val="24"/>
        </w:rPr>
        <w:t>与</w:t>
      </w:r>
      <w:r>
        <w:rPr>
          <w:rFonts w:ascii="Arial" w:eastAsia="黑体" w:hAnsi="黑体" w:cs="Arial"/>
          <w:kern w:val="0"/>
          <w:sz w:val="24"/>
          <w:szCs w:val="24"/>
        </w:rPr>
        <w:t>团队领导角色</w:t>
      </w:r>
      <w:r>
        <w:rPr>
          <w:rFonts w:ascii="Arial" w:eastAsia="黑体" w:hAnsi="黑体" w:cs="Arial"/>
          <w:kern w:val="0"/>
          <w:sz w:val="24"/>
          <w:szCs w:val="24"/>
        </w:rPr>
        <w:t xml:space="preserve">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1、行政领导角色（分析）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熟悉行政领导在提供资源、管理变革、沟通交流等方面六西格玛部署的角色和责任；</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2、部署领导力（应用）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掌握使黑带、绿带、倡导者和其他参与者发挥最佳作用，并确保项目领导者和团队具备所需的知识、技能、能力和态度的行动计划制定方法。</w:t>
      </w:r>
    </w:p>
    <w:p w:rsidR="00970E2E" w:rsidRDefault="00970E2E" w:rsidP="00970E2E">
      <w:pPr>
        <w:pStyle w:val="a5"/>
        <w:numPr>
          <w:ilvl w:val="0"/>
          <w:numId w:val="6"/>
        </w:numPr>
        <w:spacing w:line="400" w:lineRule="exact"/>
        <w:ind w:firstLineChars="0"/>
        <w:rPr>
          <w:rFonts w:ascii="Arial" w:eastAsia="黑体" w:hAnsi="黑体" w:cs="Arial"/>
          <w:kern w:val="0"/>
          <w:sz w:val="24"/>
          <w:szCs w:val="24"/>
        </w:rPr>
      </w:pPr>
      <w:r>
        <w:rPr>
          <w:rFonts w:ascii="Arial" w:eastAsia="黑体" w:hAnsi="黑体" w:cs="Arial"/>
          <w:kern w:val="0"/>
          <w:sz w:val="24"/>
          <w:szCs w:val="24"/>
        </w:rPr>
        <w:t>培训</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 培训需求分析（综合）</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掌握评估各目标群体的知识水平和技能水平及差距分析的方法，以确定每个目标群体的培训需求；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 培训计划（综合）</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掌握根据知识和技能的差距制定培训计划的方法，并根据需要完善计划，以确保培训效果；</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 培训材料和课程开发（综合）</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掌握选择符合需要的培训材料和资源的方法，确保培训与正在使用的其他工具和方法的应用协调一致，并与组织的战略目标和文化保持一致；</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4、培训有效性评估（综合）</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掌握有效地监控、测量、评估和验证所需知识和技能的方法。</w:t>
      </w:r>
    </w:p>
    <w:p w:rsidR="00970E2E" w:rsidRDefault="00970E2E" w:rsidP="00970E2E">
      <w:pPr>
        <w:pStyle w:val="a5"/>
        <w:numPr>
          <w:ilvl w:val="0"/>
          <w:numId w:val="6"/>
        </w:numPr>
        <w:spacing w:line="400" w:lineRule="exact"/>
        <w:ind w:firstLineChars="0"/>
        <w:rPr>
          <w:rFonts w:ascii="Arial" w:eastAsia="黑体" w:hAnsi="黑体" w:cs="Arial"/>
          <w:kern w:val="0"/>
          <w:sz w:val="24"/>
          <w:szCs w:val="24"/>
        </w:rPr>
      </w:pPr>
      <w:r>
        <w:rPr>
          <w:rFonts w:ascii="Arial" w:eastAsia="黑体" w:hAnsi="黑体" w:cs="Arial"/>
          <w:kern w:val="0"/>
          <w:sz w:val="24"/>
          <w:szCs w:val="24"/>
        </w:rPr>
        <w:lastRenderedPageBreak/>
        <w:t>辅导</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1、指导倡导者、变革推动者和执行人（综合）</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掌握指导执行人和倡导者合作开展项目评审的方法，包括项目评审中的提问与评价方法，项目进度与目标达成的评估；向倡导者和执行人进行反馈等；</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2、指导黑带和绿带（综合）</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掌握为黑带和绿带制定进</w:t>
      </w:r>
      <w:proofErr w:type="gramStart"/>
      <w:r>
        <w:rPr>
          <w:rFonts w:asciiTheme="minorEastAsia" w:eastAsiaTheme="minorEastAsia" w:hAnsiTheme="minorEastAsia" w:cstheme="minorEastAsia" w:hint="eastAsia"/>
          <w:kern w:val="0"/>
          <w:sz w:val="24"/>
          <w:szCs w:val="24"/>
        </w:rPr>
        <w:t>阶规划</w:t>
      </w:r>
      <w:proofErr w:type="gramEnd"/>
      <w:r>
        <w:rPr>
          <w:rFonts w:asciiTheme="minorEastAsia" w:eastAsiaTheme="minorEastAsia" w:hAnsiTheme="minorEastAsia" w:cstheme="minorEastAsia" w:hint="eastAsia"/>
          <w:kern w:val="0"/>
          <w:sz w:val="24"/>
          <w:szCs w:val="24"/>
        </w:rPr>
        <w:t>的方法并指导他们有效地开展六西格玛项目，评估其进展并提供建设性反馈意见的方法；</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3、指导非带级员工（综合）</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掌握指导非带级参与者理解六西格玛管理的方法，并使非带级人员获取进阶为带级人员所需的技能和知识。</w:t>
      </w:r>
    </w:p>
    <w:p w:rsidR="00970E2E" w:rsidRDefault="00970E2E" w:rsidP="00970E2E">
      <w:pPr>
        <w:pStyle w:val="a5"/>
        <w:numPr>
          <w:ilvl w:val="0"/>
          <w:numId w:val="1"/>
        </w:numPr>
        <w:spacing w:line="400" w:lineRule="exact"/>
        <w:ind w:firstLineChars="0"/>
        <w:rPr>
          <w:rFonts w:ascii="黑体" w:eastAsia="黑体" w:hAnsi="黑体" w:cs="Arial"/>
          <w:kern w:val="0"/>
          <w:sz w:val="24"/>
          <w:szCs w:val="24"/>
        </w:rPr>
      </w:pPr>
      <w:r>
        <w:rPr>
          <w:rFonts w:ascii="黑体" w:eastAsia="黑体" w:hAnsi="黑体" w:cs="Arial"/>
          <w:kern w:val="0"/>
          <w:sz w:val="24"/>
          <w:szCs w:val="24"/>
        </w:rPr>
        <w:t>高级统计方法和工具</w:t>
      </w:r>
    </w:p>
    <w:p w:rsidR="00970E2E" w:rsidRDefault="00970E2E" w:rsidP="00970E2E">
      <w:pPr>
        <w:pStyle w:val="a5"/>
        <w:numPr>
          <w:ilvl w:val="0"/>
          <w:numId w:val="7"/>
        </w:numPr>
        <w:spacing w:line="400" w:lineRule="exact"/>
        <w:ind w:firstLineChars="0"/>
        <w:rPr>
          <w:rFonts w:ascii="Arial" w:eastAsia="黑体" w:hAnsi="Arial" w:cs="Arial"/>
          <w:kern w:val="0"/>
          <w:sz w:val="24"/>
          <w:szCs w:val="24"/>
        </w:rPr>
      </w:pPr>
      <w:r>
        <w:rPr>
          <w:rFonts w:ascii="Arial" w:eastAsia="黑体" w:hAnsi="黑体" w:cs="Arial"/>
          <w:kern w:val="0"/>
          <w:sz w:val="24"/>
          <w:szCs w:val="24"/>
        </w:rPr>
        <w:t>测量系统分析（</w:t>
      </w:r>
      <w:r>
        <w:rPr>
          <w:rFonts w:ascii="Arial" w:eastAsia="黑体" w:hAnsi="Arial" w:cs="Arial"/>
          <w:kern w:val="0"/>
          <w:sz w:val="24"/>
          <w:szCs w:val="24"/>
        </w:rPr>
        <w:t>MSA</w:t>
      </w:r>
      <w:r>
        <w:rPr>
          <w:rFonts w:ascii="Arial" w:eastAsia="黑体" w:hAnsi="黑体" w:cs="Arial"/>
          <w:kern w:val="0"/>
          <w:sz w:val="24"/>
          <w:szCs w:val="24"/>
        </w:rPr>
        <w:t>）</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1、误差传递（评估）</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运用误差传递技术评估测量系统和计算值；</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2、属性（离散型）测量系统（评估）</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掌握各种工具和方法，如百分比一致性、Kappa、Kendall、组内相关系数[ICC]等来分析和解释离散型测量系统数据； </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3、变量（连续型）测量系统（评估）</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使用各种工具和方法，如</w:t>
      </w:r>
      <w:proofErr w:type="spellStart"/>
      <w:r>
        <w:rPr>
          <w:rFonts w:asciiTheme="minorEastAsia" w:eastAsiaTheme="minorEastAsia" w:hAnsiTheme="minorEastAsia" w:cstheme="minorEastAsia" w:hint="eastAsia"/>
          <w:kern w:val="0"/>
          <w:sz w:val="24"/>
          <w:szCs w:val="24"/>
        </w:rPr>
        <w:t>Xbar</w:t>
      </w:r>
      <w:proofErr w:type="spellEnd"/>
      <w:r>
        <w:rPr>
          <w:rFonts w:asciiTheme="minorEastAsia" w:eastAsiaTheme="minorEastAsia" w:hAnsiTheme="minorEastAsia" w:cstheme="minorEastAsia" w:hint="eastAsia"/>
          <w:kern w:val="0"/>
          <w:sz w:val="24"/>
          <w:szCs w:val="24"/>
        </w:rPr>
        <w:t>-R、</w:t>
      </w:r>
      <w:proofErr w:type="spellStart"/>
      <w:r>
        <w:rPr>
          <w:rFonts w:asciiTheme="minorEastAsia" w:eastAsiaTheme="minorEastAsia" w:hAnsiTheme="minorEastAsia" w:cstheme="minorEastAsia" w:hint="eastAsia"/>
          <w:kern w:val="0"/>
          <w:sz w:val="24"/>
          <w:szCs w:val="24"/>
        </w:rPr>
        <w:t>Xbar</w:t>
      </w:r>
      <w:proofErr w:type="spellEnd"/>
      <w:r>
        <w:rPr>
          <w:rFonts w:asciiTheme="minorEastAsia" w:eastAsiaTheme="minorEastAsia" w:hAnsiTheme="minorEastAsia" w:cstheme="minorEastAsia" w:hint="eastAsia"/>
          <w:kern w:val="0"/>
          <w:sz w:val="24"/>
          <w:szCs w:val="24"/>
        </w:rPr>
        <w:t>-s、I-MR等分析和解释连续型测量系统数据；</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4、非正</w:t>
      </w:r>
      <w:proofErr w:type="gramStart"/>
      <w:r>
        <w:rPr>
          <w:rFonts w:asciiTheme="minorEastAsia" w:eastAsiaTheme="minorEastAsia" w:hAnsiTheme="minorEastAsia" w:cstheme="minorEastAsia" w:hint="eastAsia"/>
          <w:kern w:val="0"/>
          <w:sz w:val="24"/>
          <w:szCs w:val="24"/>
        </w:rPr>
        <w:t>态数据</w:t>
      </w:r>
      <w:proofErr w:type="gramEnd"/>
      <w:r>
        <w:rPr>
          <w:rFonts w:asciiTheme="minorEastAsia" w:eastAsiaTheme="minorEastAsia" w:hAnsiTheme="minorEastAsia" w:cstheme="minorEastAsia" w:hint="eastAsia"/>
          <w:kern w:val="0"/>
          <w:sz w:val="24"/>
          <w:szCs w:val="24"/>
        </w:rPr>
        <w:t>的过程能力（应用）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掌握非正</w:t>
      </w:r>
      <w:proofErr w:type="gramStart"/>
      <w:r>
        <w:rPr>
          <w:rFonts w:asciiTheme="minorEastAsia" w:eastAsiaTheme="minorEastAsia" w:hAnsiTheme="minorEastAsia" w:cstheme="minorEastAsia" w:hint="eastAsia"/>
          <w:kern w:val="0"/>
          <w:sz w:val="24"/>
          <w:szCs w:val="24"/>
        </w:rPr>
        <w:t>态数据</w:t>
      </w:r>
      <w:proofErr w:type="gramEnd"/>
      <w:r>
        <w:rPr>
          <w:rFonts w:asciiTheme="minorEastAsia" w:eastAsiaTheme="minorEastAsia" w:hAnsiTheme="minorEastAsia" w:cstheme="minorEastAsia" w:hint="eastAsia"/>
          <w:kern w:val="0"/>
          <w:sz w:val="24"/>
          <w:szCs w:val="24"/>
        </w:rPr>
        <w:t>使用威布尔和其他方法的计算。</w:t>
      </w:r>
    </w:p>
    <w:p w:rsidR="00970E2E" w:rsidRDefault="00970E2E" w:rsidP="00970E2E">
      <w:pPr>
        <w:pStyle w:val="a5"/>
        <w:numPr>
          <w:ilvl w:val="0"/>
          <w:numId w:val="7"/>
        </w:numPr>
        <w:spacing w:line="400" w:lineRule="exact"/>
        <w:ind w:firstLineChars="0"/>
        <w:rPr>
          <w:rFonts w:ascii="Arial" w:eastAsia="黑体" w:hAnsi="Arial" w:cs="Arial"/>
          <w:kern w:val="0"/>
          <w:sz w:val="24"/>
          <w:szCs w:val="24"/>
        </w:rPr>
      </w:pPr>
      <w:r>
        <w:rPr>
          <w:rFonts w:ascii="Arial" w:eastAsia="黑体" w:hAnsi="Arial" w:cs="Arial"/>
          <w:kern w:val="0"/>
          <w:sz w:val="24"/>
          <w:szCs w:val="24"/>
        </w:rPr>
        <w:t>试验设计（</w:t>
      </w:r>
      <w:r>
        <w:rPr>
          <w:rFonts w:ascii="Arial" w:eastAsia="黑体" w:hAnsi="Arial" w:cs="Arial"/>
          <w:kern w:val="0"/>
          <w:sz w:val="24"/>
          <w:szCs w:val="24"/>
        </w:rPr>
        <w:t>DOE</w:t>
      </w:r>
      <w:r>
        <w:rPr>
          <w:rFonts w:ascii="Arial" w:eastAsia="黑体" w:hAnsi="Arial" w:cs="Arial"/>
          <w:kern w:val="0"/>
          <w:sz w:val="24"/>
          <w:szCs w:val="24"/>
        </w:rPr>
        <w:t>）</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1、因子分析（应用）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掌握应用和解释因子关系图；</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2、复杂的区组结构（了解）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掌握认识处理更复杂区组结构的其他设计，包括平衡不完全区组设计（BIBD）等；</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3、其他DOE方法（理解）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理解响应曲面方法（RSM）、混料试验、调优运算（EVOP）等方法的使用。</w:t>
      </w:r>
    </w:p>
    <w:p w:rsidR="00970E2E" w:rsidRDefault="00970E2E" w:rsidP="00970E2E">
      <w:pPr>
        <w:pStyle w:val="a5"/>
        <w:numPr>
          <w:ilvl w:val="0"/>
          <w:numId w:val="7"/>
        </w:numPr>
        <w:spacing w:line="400" w:lineRule="exact"/>
        <w:ind w:firstLineChars="0"/>
        <w:rPr>
          <w:rFonts w:ascii="Arial" w:eastAsia="黑体" w:hAnsi="Arial" w:cs="Arial"/>
          <w:kern w:val="0"/>
          <w:sz w:val="24"/>
          <w:szCs w:val="24"/>
        </w:rPr>
      </w:pPr>
      <w:r>
        <w:rPr>
          <w:rFonts w:ascii="Arial" w:eastAsia="黑体" w:hAnsi="Arial" w:cs="Arial"/>
          <w:kern w:val="0"/>
          <w:sz w:val="24"/>
          <w:szCs w:val="24"/>
        </w:rPr>
        <w:t>与建模有关的方法</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1、自相关和预测（了解）</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lastRenderedPageBreak/>
        <w:t>识别自</w:t>
      </w:r>
      <w:proofErr w:type="gramEnd"/>
      <w:r>
        <w:rPr>
          <w:rFonts w:asciiTheme="minorEastAsia" w:eastAsiaTheme="minorEastAsia" w:hAnsiTheme="minorEastAsia" w:cstheme="minorEastAsia" w:hint="eastAsia"/>
          <w:kern w:val="0"/>
          <w:sz w:val="24"/>
          <w:szCs w:val="24"/>
        </w:rPr>
        <w:t>相关数据，包括时间序列模型（如：ARIMA）和预测；</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2、多元回归分析（应用）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应用和解释多元回归分析，包括使用方差膨胀因子（VIFs）识别多重共线性问题；</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3、Logistic 回归分析（应用）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应用和解释Logistic回归分析，包括二元的、有序的和名义上的数据的计算；</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4、非线性参数的模型拟合（应用）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应用并解释非线性模型的拟合；</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5、一般线性模型（GLMs）（应用）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使用假设和假设检验来应用和解释GLM；比较和对比 GLMs 和各种其他模型，包括方差分析（ANOVA）结果（交叉、嵌套和混合模型）、简单线性回归、多元回归、协方差分析（ANCOVA）以及连续型测量系统分析（MSA）；</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6、变差组成（评估）</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选择、计算和解释变差组成以及嵌套设计研究；</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7、模拟（或仿真）（应用）</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应用仿真工具，如蒙特卡洛（Mont Carlo）、离散型仿真等；</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8、多变量分析（分析）</w:t>
      </w:r>
    </w:p>
    <w:p w:rsidR="00970E2E" w:rsidRDefault="00970E2E" w:rsidP="00970E2E">
      <w:pPr>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使用适当的多变量分析工具（因子分析、聚类分析、典型相关分析等）。</w:t>
      </w:r>
    </w:p>
    <w:p w:rsidR="00970E2E" w:rsidRDefault="00970E2E" w:rsidP="00970E2E">
      <w:pPr>
        <w:spacing w:before="120" w:line="360" w:lineRule="auto"/>
        <w:rPr>
          <w:rFonts w:ascii="Arial" w:hAnsi="Arial" w:cs="Arial"/>
          <w:kern w:val="0"/>
          <w:sz w:val="24"/>
          <w:szCs w:val="24"/>
        </w:rPr>
      </w:pPr>
    </w:p>
    <w:p w:rsidR="00970E2E" w:rsidRDefault="00970E2E" w:rsidP="00970E2E">
      <w:pPr>
        <w:adjustRightInd w:val="0"/>
        <w:snapToGrid w:val="0"/>
        <w:spacing w:line="360" w:lineRule="auto"/>
        <w:rPr>
          <w:rFonts w:ascii="Arial" w:eastAsia="微软雅黑" w:hAnsi="Arial" w:cs="Arial"/>
          <w:kern w:val="0"/>
          <w:sz w:val="24"/>
          <w:szCs w:val="24"/>
        </w:rPr>
      </w:pPr>
    </w:p>
    <w:p w:rsidR="00970E2E" w:rsidRDefault="00970E2E" w:rsidP="00970E2E"/>
    <w:p w:rsidR="00970E2E" w:rsidRDefault="00970E2E" w:rsidP="00970E2E"/>
    <w:p w:rsidR="00DD030B" w:rsidRPr="00970E2E" w:rsidRDefault="00DD030B"/>
    <w:sectPr w:rsidR="00DD030B" w:rsidRPr="00970E2E">
      <w:footerReference w:type="even" r:id="rId5"/>
      <w:footerReference w:type="default" r:id="rId6"/>
      <w:pgSz w:w="11906" w:h="16838"/>
      <w:pgMar w:top="1985" w:right="1531" w:bottom="2155" w:left="1531" w:header="851" w:footer="141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085" w:rsidRDefault="00970E2E">
    <w:pPr>
      <w:pStyle w:val="a3"/>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Pr="00462318">
      <w:rPr>
        <w:rFonts w:ascii="Times New Roman" w:hAnsi="Times New Roman"/>
        <w:noProof/>
        <w:sz w:val="24"/>
        <w:lang w:val="zh-CN"/>
      </w:rPr>
      <w:t>20</w:t>
    </w:r>
    <w:r>
      <w:rPr>
        <w:rFonts w:ascii="Times New Roman" w:hAnsi="Times New Roman"/>
        <w:sz w:val="24"/>
      </w:rPr>
      <w:fldChar w:fldCharType="end"/>
    </w: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085" w:rsidRDefault="00970E2E">
    <w:pPr>
      <w:pStyle w:val="a3"/>
      <w:wordWrap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Pr="005163BF">
      <w:rPr>
        <w:rFonts w:ascii="Times New Roman" w:hAnsi="Times New Roman"/>
        <w:noProof/>
        <w:sz w:val="24"/>
        <w:lang w:val="zh-CN"/>
      </w:rPr>
      <w:t>1</w:t>
    </w:r>
    <w:r>
      <w:rPr>
        <w:rFonts w:ascii="Times New Roman" w:hAnsi="Times New Roman"/>
        <w:sz w:val="24"/>
      </w:rPr>
      <w:fldChar w:fldCharType="end"/>
    </w:r>
    <w:r>
      <w:rPr>
        <w:rFonts w:ascii="Times New Roman" w:hAnsi="Times New Roman"/>
        <w:sz w:val="24"/>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16F99"/>
    <w:multiLevelType w:val="multilevel"/>
    <w:tmpl w:val="2BB16F9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B56DDB"/>
    <w:multiLevelType w:val="multilevel"/>
    <w:tmpl w:val="2FB56DDB"/>
    <w:lvl w:ilvl="0">
      <w:start w:val="1"/>
      <w:numFmt w:val="upperLetter"/>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F321111"/>
    <w:multiLevelType w:val="multilevel"/>
    <w:tmpl w:val="3F321111"/>
    <w:lvl w:ilvl="0">
      <w:start w:val="1"/>
      <w:numFmt w:val="upperLetter"/>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7875AFE"/>
    <w:multiLevelType w:val="multilevel"/>
    <w:tmpl w:val="47875AFE"/>
    <w:lvl w:ilvl="0">
      <w:start w:val="1"/>
      <w:numFmt w:val="upperLetter"/>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5E2D18"/>
    <w:multiLevelType w:val="multilevel"/>
    <w:tmpl w:val="595E2D18"/>
    <w:lvl w:ilvl="0">
      <w:start w:val="1"/>
      <w:numFmt w:val="upperLetter"/>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78411D"/>
    <w:multiLevelType w:val="multilevel"/>
    <w:tmpl w:val="5B78411D"/>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EDD3209"/>
    <w:multiLevelType w:val="multilevel"/>
    <w:tmpl w:val="7EDD3209"/>
    <w:lvl w:ilvl="0">
      <w:start w:val="1"/>
      <w:numFmt w:val="upperLetter"/>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2E"/>
    <w:rsid w:val="00970E2E"/>
    <w:rsid w:val="00DD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8F8E6-D415-449C-9F85-153E276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E2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70E2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970E2E"/>
    <w:rPr>
      <w:rFonts w:ascii="等线" w:eastAsia="等线" w:hAnsi="等线" w:cs="Times New Roman"/>
      <w:sz w:val="18"/>
      <w:szCs w:val="18"/>
    </w:rPr>
  </w:style>
  <w:style w:type="paragraph" w:styleId="a5">
    <w:name w:val="List Paragraph"/>
    <w:basedOn w:val="a"/>
    <w:uiPriority w:val="34"/>
    <w:qFormat/>
    <w:rsid w:val="00970E2E"/>
    <w:pPr>
      <w:ind w:firstLineChars="200" w:firstLine="420"/>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CAQ-IT</dc:creator>
  <cp:keywords/>
  <dc:description/>
  <cp:lastModifiedBy>CAQ-IT</cp:lastModifiedBy>
  <cp:revision>1</cp:revision>
  <dcterms:created xsi:type="dcterms:W3CDTF">2019-07-15T04:13:00Z</dcterms:created>
  <dcterms:modified xsi:type="dcterms:W3CDTF">2019-07-15T04:15:00Z</dcterms:modified>
</cp:coreProperties>
</file>