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3BA0" w14:textId="77777777" w:rsidR="00164330" w:rsidRDefault="00164330" w:rsidP="00164330">
      <w:pPr>
        <w:overflowPunct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4</w:t>
      </w:r>
    </w:p>
    <w:p w14:paraId="59424775" w14:textId="77777777" w:rsidR="00164330" w:rsidRDefault="00164330" w:rsidP="00164330">
      <w:pPr>
        <w:overflowPunct w:val="0"/>
        <w:spacing w:line="640" w:lineRule="exact"/>
        <w:ind w:left="-141"/>
        <w:jc w:val="center"/>
        <w:rPr>
          <w:rFonts w:cs="仿宋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第十一届全国品牌故事大赛分赛区承办规则</w:t>
      </w:r>
    </w:p>
    <w:p w14:paraId="5EBC47A4" w14:textId="77777777" w:rsidR="00164330" w:rsidRDefault="00164330" w:rsidP="00164330">
      <w:pPr>
        <w:overflowPunct w:val="0"/>
        <w:spacing w:beforeLines="50" w:before="156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为了体现全国品牌故事大赛的权威性、公正性，确保大赛在全国范围内顺利进行，根据指导单位的要求，主办方制定本规则。</w:t>
      </w:r>
    </w:p>
    <w:p w14:paraId="78154D3E" w14:textId="77777777" w:rsidR="00164330" w:rsidRDefault="00164330" w:rsidP="00164330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bookmarkStart w:id="0" w:name="_Toc16408"/>
      <w:bookmarkEnd w:id="0"/>
      <w:r>
        <w:rPr>
          <w:rFonts w:ascii="黑体" w:eastAsia="黑体" w:hAnsi="黑体" w:hint="eastAsia"/>
          <w:sz w:val="32"/>
          <w:szCs w:val="32"/>
        </w:rPr>
        <w:t>一、赛区品牌形象要求</w:t>
      </w:r>
    </w:p>
    <w:p w14:paraId="64414E97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（一）比赛名称统一为“第十一届全国品牌故事大赛XX分赛区（场）”，其中XX分赛区（场）以比赛举办城市（行业）名称命名。</w:t>
      </w:r>
    </w:p>
    <w:p w14:paraId="3870D57E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（二）分赛区背板、Logo要按照主办方提供的模板制作，不得擅自更改。</w:t>
      </w:r>
    </w:p>
    <w:p w14:paraId="5BBB060F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（三）指导单位、承办单位按照主办方提供的单位名称宣传。</w:t>
      </w:r>
    </w:p>
    <w:p w14:paraId="30E44BA3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（四）依据《全国品牌故事大赛活动管理办法》相关规定，承办单位违反主办方要求的，取消申办资格，三年之内不得再次申请。</w:t>
      </w:r>
    </w:p>
    <w:p w14:paraId="41366C0E" w14:textId="77777777" w:rsidR="00164330" w:rsidRDefault="00164330" w:rsidP="00164330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bookmarkStart w:id="1" w:name="_Toc3641"/>
      <w:bookmarkEnd w:id="1"/>
      <w:r>
        <w:rPr>
          <w:rFonts w:ascii="黑体" w:eastAsia="黑体" w:hAnsi="黑体" w:hint="eastAsia"/>
          <w:sz w:val="32"/>
          <w:szCs w:val="32"/>
        </w:rPr>
        <w:t>二、组织规模的要求</w:t>
      </w:r>
    </w:p>
    <w:p w14:paraId="5FDC25A2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分赛区承办单位要在各自赛区至少征集10家以上不同参赛企业，方准许举办比赛。在同一个分赛区、同一种类型的比赛中，同一家企业的参赛作品不得超过2个。各分赛区同一类型参赛作品中，由本地区（省）企业申报的比重不少于</w:t>
      </w:r>
      <w:r>
        <w:rPr>
          <w:rFonts w:ascii="仿宋_GB2312" w:eastAsia="仿宋_GB2312" w:hAnsi="仿宋"/>
          <w:sz w:val="32"/>
          <w:szCs w:val="32"/>
        </w:rPr>
        <w:t>80%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1B9C9BCF" w14:textId="77777777" w:rsidR="00164330" w:rsidRDefault="00164330" w:rsidP="00164330">
      <w:pPr>
        <w:overflowPunct w:val="0"/>
        <w:spacing w:line="660" w:lineRule="exact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三、比赛形式要求</w:t>
      </w:r>
    </w:p>
    <w:p w14:paraId="62121383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分赛区在承办过程中，可在遵守承办规则和评分细则的情况下，根据本地实际情况，从以下三种比赛方式中自行选择，组织赛前培训、比赛，保证比赛公平公正顺利完成。</w:t>
      </w:r>
    </w:p>
    <w:p w14:paraId="6A837515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（一）线下比赛方式</w:t>
      </w:r>
    </w:p>
    <w:p w14:paraId="502FA76E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60" w:lineRule="exact"/>
        <w:ind w:firstLineChars="200" w:firstLine="640"/>
        <w:rPr>
          <w:rFonts w:ascii="仿宋_GB2312" w:eastAsia="仿宋_GB2312" w:hAnsi="仿宋"/>
          <w:spacing w:val="6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</w:t>
      </w:r>
      <w:r>
        <w:rPr>
          <w:rFonts w:ascii="仿宋_GB2312" w:eastAsia="仿宋_GB2312" w:hAnsi="仿宋" w:hint="eastAsia"/>
          <w:spacing w:val="6"/>
          <w:sz w:val="32"/>
          <w:szCs w:val="32"/>
        </w:rPr>
        <w:t>办单位组织评审专家团队、参赛选手进行现场比赛和评审。</w:t>
      </w:r>
    </w:p>
    <w:p w14:paraId="4F370A04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（二）线上比赛方式</w:t>
      </w:r>
    </w:p>
    <w:p w14:paraId="0D881A3E" w14:textId="77777777" w:rsidR="00164330" w:rsidRDefault="00164330" w:rsidP="00164330">
      <w:pPr>
        <w:overflowPunct w:val="0"/>
        <w:spacing w:line="6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征文、微电影、短视频比赛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39636762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承办单位组织评审专家团队进行线上集中评审。</w:t>
      </w:r>
    </w:p>
    <w:p w14:paraId="3581F08C" w14:textId="77777777" w:rsidR="00164330" w:rsidRDefault="00164330" w:rsidP="00164330">
      <w:pPr>
        <w:overflowPunct w:val="0"/>
        <w:spacing w:line="6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演讲比赛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54F5EB72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：演讲参赛选手按照比赛要求在规定时间内提供演讲视频和其他资料，承办单位组织评审专家团队进行线上评审。</w:t>
      </w:r>
    </w:p>
    <w:p w14:paraId="79566447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方案二：承办单位组织评审专家团队、演讲比赛参赛选手在规定时间进行线上比赛（可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选择腾讯会议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等软件）。承办单位按照规定流程组织选手逐一进行演讲，每位选手演讲完毕，由专家通过线上会话进行现场打分。</w:t>
      </w:r>
    </w:p>
    <w:p w14:paraId="0251FF44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（三）线上线下结合比赛方式</w:t>
      </w:r>
    </w:p>
    <w:p w14:paraId="1EBA96C4" w14:textId="77777777" w:rsidR="00164330" w:rsidRDefault="00164330" w:rsidP="00164330">
      <w:pPr>
        <w:overflowPunct w:val="0"/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征文、微电影、短视频比赛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7736A67B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承办单位组织评审专家团队进行线上集中评审。</w:t>
      </w:r>
    </w:p>
    <w:p w14:paraId="069DC641" w14:textId="77777777" w:rsidR="00164330" w:rsidRDefault="00164330" w:rsidP="00164330">
      <w:pPr>
        <w:overflowPunct w:val="0"/>
        <w:spacing w:line="6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演讲比赛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6DCB71F8" w14:textId="77777777" w:rsidR="00164330" w:rsidRDefault="00164330" w:rsidP="00164330">
      <w:pPr>
        <w:widowControl/>
        <w:overflowPunct w:val="0"/>
        <w:spacing w:line="600" w:lineRule="exact"/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承办单位在做好检测防护措施的前提下，仅组织参赛选手、专家评审团队进行现场比赛和评审。</w:t>
      </w:r>
      <w:bookmarkStart w:id="2" w:name="_Toc29583"/>
      <w:bookmarkEnd w:id="2"/>
    </w:p>
    <w:p w14:paraId="30E02670" w14:textId="77777777" w:rsidR="00164330" w:rsidRDefault="00164330" w:rsidP="00164330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四、评审要求</w:t>
      </w:r>
    </w:p>
    <w:p w14:paraId="222F6D88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（一）分赛区要本着公正、公平、公开的原则组织比赛，不得出现暗箱操作、内定选手名次等违规行为。演讲比赛，每位选手演讲</w:t>
      </w:r>
      <w:r>
        <w:rPr>
          <w:rFonts w:ascii="仿宋_GB2312" w:eastAsia="仿宋_GB2312" w:hAnsi="仿宋"/>
          <w:sz w:val="32"/>
          <w:szCs w:val="32"/>
        </w:rPr>
        <w:t>结束</w:t>
      </w:r>
      <w:r>
        <w:rPr>
          <w:rFonts w:ascii="仿宋_GB2312" w:eastAsia="仿宋_GB2312" w:hAnsi="仿宋" w:hint="eastAsia"/>
          <w:sz w:val="32"/>
          <w:szCs w:val="32"/>
        </w:rPr>
        <w:t>要有现场亮分的环节。</w:t>
      </w:r>
    </w:p>
    <w:p w14:paraId="1089C1E4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（二）评审标准要按照主办方给定的标准实施，做到全国各分赛区的评价尺度一致。</w:t>
      </w:r>
    </w:p>
    <w:p w14:paraId="0FE0063F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（三）每个分赛区自行组织专家评审，评委人数为奇数，不得少于5人，其中一人由大赛组委会推荐，其他评委可以由政府、企业、高校和媒体等组织单位的资深专家担任。</w:t>
      </w:r>
    </w:p>
    <w:p w14:paraId="205C5E21" w14:textId="77777777" w:rsidR="00164330" w:rsidRDefault="00164330" w:rsidP="00164330">
      <w:pPr>
        <w:pStyle w:val="1"/>
        <w:overflowPunct w:val="0"/>
        <w:spacing w:line="600" w:lineRule="exact"/>
        <w:ind w:firstLine="640"/>
        <w:outlineLvl w:val="1"/>
        <w:rPr>
          <w:rFonts w:ascii="黑体" w:eastAsia="黑体" w:hAnsi="黑体"/>
          <w:sz w:val="32"/>
          <w:szCs w:val="32"/>
        </w:rPr>
      </w:pPr>
      <w:bookmarkStart w:id="3" w:name="_Toc21457"/>
      <w:bookmarkEnd w:id="3"/>
      <w:r>
        <w:rPr>
          <w:rFonts w:ascii="黑体" w:eastAsia="黑体" w:hAnsi="黑体" w:hint="eastAsia"/>
          <w:sz w:val="32"/>
          <w:szCs w:val="32"/>
        </w:rPr>
        <w:t>五、相关费用及商务活动</w:t>
      </w:r>
    </w:p>
    <w:p w14:paraId="1293D728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承办单位可招募协办单位，但是不允许区域冠名。</w:t>
      </w:r>
    </w:p>
    <w:p w14:paraId="4CB1D1BA" w14:textId="77777777" w:rsidR="00164330" w:rsidRDefault="00164330" w:rsidP="00164330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bookmarkStart w:id="4" w:name="_Toc17388"/>
      <w:bookmarkEnd w:id="4"/>
      <w:r>
        <w:rPr>
          <w:rFonts w:ascii="黑体" w:eastAsia="黑体" w:hAnsi="黑体" w:hint="eastAsia"/>
          <w:sz w:val="32"/>
          <w:szCs w:val="32"/>
        </w:rPr>
        <w:t>六、宣传要求</w:t>
      </w:r>
    </w:p>
    <w:p w14:paraId="5CC7AF40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分赛区承办单位负责动员当地媒体对比赛活动进行宣传，既要进行分赛区的宣传，还要兼顾品牌故事大赛在全国的整体宣传。宣传要遵守主办方统一的形象要求，包括背景板、Logo、组织机构名称等。</w:t>
      </w:r>
      <w:bookmarkStart w:id="5" w:name="_Toc15334"/>
      <w:bookmarkEnd w:id="5"/>
    </w:p>
    <w:p w14:paraId="739B0C8E" w14:textId="77777777" w:rsidR="00164330" w:rsidRDefault="00164330" w:rsidP="00164330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七、奖项设置</w:t>
      </w:r>
    </w:p>
    <w:p w14:paraId="1E3D896A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分赛区除了评出一、二、三等奖之外，承办单位可设立单项奖，名称不限。</w:t>
      </w:r>
    </w:p>
    <w:p w14:paraId="39CD7BA7" w14:textId="77777777" w:rsidR="00164330" w:rsidRDefault="00164330" w:rsidP="00164330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bookmarkStart w:id="6" w:name="_Toc19017"/>
      <w:bookmarkEnd w:id="6"/>
      <w:r>
        <w:rPr>
          <w:rFonts w:ascii="黑体" w:eastAsia="黑体" w:hAnsi="黑体" w:hint="eastAsia"/>
          <w:sz w:val="32"/>
          <w:szCs w:val="32"/>
        </w:rPr>
        <w:t>八、时间要求</w:t>
      </w:r>
    </w:p>
    <w:p w14:paraId="1B0D8ED6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各分赛区比赛需在主办方规定时限之前全部结束，以保证全国总决赛的顺利进行。</w:t>
      </w:r>
    </w:p>
    <w:p w14:paraId="722D610F" w14:textId="77777777" w:rsidR="00164330" w:rsidRDefault="00164330" w:rsidP="00164330">
      <w:pPr>
        <w:overflowPunct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九、提交材料</w:t>
      </w:r>
    </w:p>
    <w:p w14:paraId="51F17AED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分赛区承办单位需向主办方提交比赛的文件和资料，具体包括：</w:t>
      </w:r>
    </w:p>
    <w:p w14:paraId="3805C751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（一）筹备比赛的公文原件。</w:t>
      </w:r>
    </w:p>
    <w:p w14:paraId="50BC3382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（二）比赛现场照片、视频等资料。</w:t>
      </w:r>
    </w:p>
    <w:p w14:paraId="5F10EE32" w14:textId="77777777" w:rsidR="00164330" w:rsidRDefault="00164330" w:rsidP="00164330">
      <w:pPr>
        <w:widowControl/>
        <w:numPr>
          <w:ilvl w:val="255"/>
          <w:numId w:val="0"/>
        </w:num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（三）赛事宣传新闻稿。</w:t>
      </w:r>
    </w:p>
    <w:p w14:paraId="3A981148" w14:textId="77777777" w:rsidR="00164330" w:rsidRPr="00164330" w:rsidRDefault="00164330"/>
    <w:sectPr w:rsidR="00164330" w:rsidRPr="0016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30"/>
    <w:rsid w:val="001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456D"/>
  <w15:chartTrackingRefBased/>
  <w15:docId w15:val="{973D5D4F-DC74-4861-96E1-D46CD44F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6433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164330"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rsid w:val="0016433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64330"/>
    <w:rPr>
      <w:rFonts w:ascii="等线" w:eastAsia="等线" w:hAnsi="等线" w:cs="Times New Roman"/>
    </w:rPr>
  </w:style>
  <w:style w:type="paragraph" w:styleId="2">
    <w:name w:val="Body Text First Indent 2"/>
    <w:basedOn w:val="a3"/>
    <w:link w:val="20"/>
    <w:uiPriority w:val="99"/>
    <w:semiHidden/>
    <w:unhideWhenUsed/>
    <w:rsid w:val="00164330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164330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2023-01-13T01:12:00Z</dcterms:created>
  <dcterms:modified xsi:type="dcterms:W3CDTF">2023-01-13T01:12:00Z</dcterms:modified>
</cp:coreProperties>
</file>